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8EDF" w14:textId="6F842289" w:rsidR="00501C3F" w:rsidRPr="00501C3F" w:rsidRDefault="000E0533" w:rsidP="00501C3F">
      <w:pPr>
        <w:rPr>
          <w:rFonts w:eastAsiaTheme="minorHAnsi"/>
          <w:b/>
          <w:bCs/>
          <w:color w:val="00459D"/>
          <w:sz w:val="32"/>
          <w:lang w:eastAsia="en-US"/>
        </w:rPr>
      </w:pPr>
      <w:r>
        <w:rPr>
          <w:rFonts w:eastAsiaTheme="minorHAnsi"/>
          <w:b/>
          <w:bCs/>
          <w:color w:val="00459D"/>
          <w:sz w:val="32"/>
          <w:lang w:eastAsia="en-US"/>
        </w:rPr>
        <w:t>Indikativní cen</w:t>
      </w:r>
      <w:r w:rsidR="005E0AC8">
        <w:rPr>
          <w:rFonts w:eastAsiaTheme="minorHAnsi"/>
          <w:b/>
          <w:bCs/>
          <w:color w:val="00459D"/>
          <w:sz w:val="32"/>
          <w:lang w:eastAsia="en-US"/>
        </w:rPr>
        <w:t>y</w:t>
      </w:r>
      <w:r>
        <w:rPr>
          <w:rFonts w:eastAsiaTheme="minorHAnsi"/>
          <w:b/>
          <w:bCs/>
          <w:color w:val="00459D"/>
          <w:sz w:val="32"/>
          <w:lang w:eastAsia="en-US"/>
        </w:rPr>
        <w:t xml:space="preserve"> </w:t>
      </w:r>
      <w:r w:rsidR="00501C3F">
        <w:rPr>
          <w:rFonts w:eastAsiaTheme="minorHAnsi"/>
          <w:b/>
          <w:bCs/>
          <w:color w:val="00459D"/>
          <w:sz w:val="32"/>
          <w:lang w:eastAsia="en-US"/>
        </w:rPr>
        <w:br/>
      </w:r>
      <w:r w:rsidR="005E0AC8">
        <w:rPr>
          <w:rFonts w:eastAsiaTheme="minorHAnsi"/>
          <w:b/>
          <w:bCs/>
          <w:color w:val="00459D"/>
          <w:sz w:val="32"/>
          <w:lang w:eastAsia="en-US"/>
        </w:rPr>
        <w:t xml:space="preserve">pomohou </w:t>
      </w:r>
      <w:r>
        <w:rPr>
          <w:rFonts w:eastAsiaTheme="minorHAnsi"/>
          <w:b/>
          <w:bCs/>
          <w:color w:val="00459D"/>
          <w:sz w:val="32"/>
          <w:lang w:eastAsia="en-US"/>
        </w:rPr>
        <w:t xml:space="preserve">spotřebitelům </w:t>
      </w:r>
      <w:r w:rsidR="005E0AC8">
        <w:rPr>
          <w:rFonts w:eastAsiaTheme="minorHAnsi"/>
          <w:b/>
          <w:bCs/>
          <w:color w:val="00459D"/>
          <w:sz w:val="32"/>
          <w:lang w:eastAsia="en-US"/>
        </w:rPr>
        <w:t>zorientovat se v nabídkách</w:t>
      </w:r>
    </w:p>
    <w:p w14:paraId="6224573B" w14:textId="65C4479D" w:rsidR="008510ED" w:rsidRPr="00D67EE8" w:rsidRDefault="008510ED" w:rsidP="008510ED">
      <w:pPr>
        <w:spacing w:after="180"/>
        <w:rPr>
          <w:szCs w:val="20"/>
          <w:lang w:eastAsia="en-US"/>
        </w:rPr>
        <w:sectPr w:rsidR="008510ED" w:rsidRPr="00D67EE8" w:rsidSect="00CC7906">
          <w:headerReference w:type="default" r:id="rId11"/>
          <w:footerReference w:type="default" r:id="rId12"/>
          <w:type w:val="continuous"/>
          <w:pgSz w:w="11906" w:h="16838" w:code="9"/>
          <w:pgMar w:top="2268" w:right="1361" w:bottom="567" w:left="1474" w:header="567" w:footer="284" w:gutter="0"/>
          <w:pgNumType w:start="1"/>
          <w:cols w:space="708"/>
          <w:docGrid w:linePitch="360"/>
        </w:sectPr>
      </w:pPr>
      <w:r w:rsidRPr="00D67EE8">
        <w:rPr>
          <w:szCs w:val="20"/>
          <w:lang w:eastAsia="en-US"/>
        </w:rPr>
        <w:t xml:space="preserve">Tisková zpráva, </w:t>
      </w:r>
      <w:r w:rsidR="00501C3F">
        <w:rPr>
          <w:szCs w:val="20"/>
          <w:lang w:eastAsia="en-US"/>
        </w:rPr>
        <w:t>1</w:t>
      </w:r>
      <w:r w:rsidRPr="00D67EE8">
        <w:rPr>
          <w:szCs w:val="20"/>
          <w:lang w:eastAsia="en-US"/>
        </w:rPr>
        <w:t>.</w:t>
      </w:r>
      <w:r w:rsidR="000E0533">
        <w:rPr>
          <w:szCs w:val="20"/>
          <w:lang w:eastAsia="en-US"/>
        </w:rPr>
        <w:t>4</w:t>
      </w:r>
      <w:r w:rsidRPr="00D67EE8">
        <w:rPr>
          <w:szCs w:val="20"/>
          <w:lang w:eastAsia="en-US"/>
        </w:rPr>
        <w:t>.202</w:t>
      </w:r>
      <w:r w:rsidR="001252D3" w:rsidRPr="00D67EE8">
        <w:rPr>
          <w:szCs w:val="20"/>
          <w:lang w:eastAsia="en-US"/>
        </w:rPr>
        <w:t>6</w:t>
      </w:r>
    </w:p>
    <w:p w14:paraId="26C8607A" w14:textId="72F8E12A" w:rsidR="00501C3F" w:rsidRPr="00501C3F" w:rsidRDefault="000E0533" w:rsidP="0A6EA396">
      <w:pPr>
        <w:spacing w:after="240"/>
        <w:jc w:val="both"/>
        <w:rPr>
          <w:b/>
          <w:bCs/>
          <w:i/>
          <w:iCs/>
        </w:rPr>
      </w:pPr>
      <w:r w:rsidRPr="0A6EA396">
        <w:rPr>
          <w:b/>
          <w:bCs/>
          <w:i/>
          <w:iCs/>
        </w:rPr>
        <w:t>Energetický regulační úřad (ERÚ) dnes představil Indikativní pásmo nabídkových cen, kter</w:t>
      </w:r>
      <w:r w:rsidR="005E0AC8">
        <w:rPr>
          <w:b/>
          <w:bCs/>
          <w:i/>
          <w:iCs/>
        </w:rPr>
        <w:t>é</w:t>
      </w:r>
      <w:r w:rsidR="3B5750BB" w:rsidRPr="0A6EA396">
        <w:rPr>
          <w:b/>
          <w:bCs/>
          <w:i/>
          <w:iCs/>
        </w:rPr>
        <w:t xml:space="preserve"> spotřebitelům</w:t>
      </w:r>
      <w:r w:rsidRPr="0A6EA396">
        <w:rPr>
          <w:b/>
          <w:bCs/>
          <w:i/>
          <w:iCs/>
        </w:rPr>
        <w:t xml:space="preserve"> usnadní</w:t>
      </w:r>
      <w:r w:rsidR="56D4AA22" w:rsidRPr="0A6EA396">
        <w:rPr>
          <w:b/>
          <w:bCs/>
          <w:i/>
          <w:iCs/>
        </w:rPr>
        <w:t xml:space="preserve"> </w:t>
      </w:r>
      <w:r w:rsidRPr="0A6EA396">
        <w:rPr>
          <w:b/>
          <w:bCs/>
          <w:i/>
          <w:iCs/>
        </w:rPr>
        <w:t xml:space="preserve">orientaci na energetickém trhu. Indikativní pásmo nabídkových cen naznačuje, </w:t>
      </w:r>
      <w:r w:rsidR="00B377E4">
        <w:rPr>
          <w:b/>
          <w:bCs/>
          <w:i/>
          <w:iCs/>
        </w:rPr>
        <w:t>kde</w:t>
      </w:r>
      <w:r w:rsidR="00B377E4" w:rsidRPr="0A6EA396">
        <w:rPr>
          <w:b/>
          <w:bCs/>
          <w:i/>
          <w:iCs/>
        </w:rPr>
        <w:t xml:space="preserve"> </w:t>
      </w:r>
      <w:r w:rsidRPr="0A6EA396">
        <w:rPr>
          <w:b/>
          <w:bCs/>
          <w:i/>
          <w:iCs/>
        </w:rPr>
        <w:t xml:space="preserve">by se aktuálně měly pohybovat maloobchodní ceny energií vzhledem k vývoji na velkoobchodních trzích. ERÚ bude </w:t>
      </w:r>
      <w:r w:rsidR="005E0AC8">
        <w:rPr>
          <w:b/>
          <w:bCs/>
          <w:i/>
          <w:iCs/>
        </w:rPr>
        <w:t>indikativní ceny</w:t>
      </w:r>
      <w:r w:rsidR="005E0AC8" w:rsidRPr="0A6EA396">
        <w:rPr>
          <w:b/>
          <w:bCs/>
          <w:i/>
          <w:iCs/>
        </w:rPr>
        <w:t xml:space="preserve"> </w:t>
      </w:r>
      <w:r w:rsidRPr="0A6EA396">
        <w:rPr>
          <w:b/>
          <w:bCs/>
          <w:i/>
          <w:iCs/>
        </w:rPr>
        <w:t>zveřejňovat každý měsíc pro elektřinu i pro plyn</w:t>
      </w:r>
      <w:r w:rsidR="00817654">
        <w:rPr>
          <w:b/>
          <w:bCs/>
          <w:i/>
          <w:iCs/>
        </w:rPr>
        <w:t>, pro produkty s fixací ceny</w:t>
      </w:r>
      <w:r w:rsidRPr="0A6EA396">
        <w:rPr>
          <w:b/>
          <w:bCs/>
          <w:i/>
          <w:iCs/>
        </w:rPr>
        <w:t>.</w:t>
      </w:r>
    </w:p>
    <w:p w14:paraId="7029F9C4" w14:textId="1BA94F41" w:rsidR="00501C3F" w:rsidRDefault="7DBBD996" w:rsidP="00501C3F">
      <w:pPr>
        <w:spacing w:after="180"/>
        <w:jc w:val="both"/>
      </w:pPr>
      <w:r w:rsidRPr="0CD5D395">
        <w:rPr>
          <w:i/>
          <w:iCs/>
        </w:rPr>
        <w:t xml:space="preserve">„Indikativní </w:t>
      </w:r>
      <w:r w:rsidR="00C3181C" w:rsidRPr="0CD5D395">
        <w:rPr>
          <w:i/>
          <w:iCs/>
        </w:rPr>
        <w:t>pásmo nabídkových cen</w:t>
      </w:r>
      <w:r w:rsidRPr="0CD5D395">
        <w:rPr>
          <w:i/>
          <w:iCs/>
        </w:rPr>
        <w:t xml:space="preserve"> </w:t>
      </w:r>
      <w:r w:rsidR="00BC703C">
        <w:rPr>
          <w:i/>
          <w:iCs/>
        </w:rPr>
        <w:t xml:space="preserve">je </w:t>
      </w:r>
      <w:r w:rsidRPr="0CD5D395">
        <w:rPr>
          <w:i/>
          <w:iCs/>
        </w:rPr>
        <w:t>jednoduchý</w:t>
      </w:r>
      <w:r w:rsidR="282DA9AB" w:rsidRPr="0CD5D395">
        <w:rPr>
          <w:i/>
          <w:iCs/>
        </w:rPr>
        <w:t>m</w:t>
      </w:r>
      <w:r w:rsidRPr="0CD5D395">
        <w:rPr>
          <w:i/>
          <w:iCs/>
        </w:rPr>
        <w:t xml:space="preserve"> ukazatel</w:t>
      </w:r>
      <w:r w:rsidR="4804860A" w:rsidRPr="0CD5D395">
        <w:rPr>
          <w:i/>
          <w:iCs/>
        </w:rPr>
        <w:t>em</w:t>
      </w:r>
      <w:r w:rsidRPr="0CD5D395">
        <w:rPr>
          <w:i/>
          <w:iCs/>
        </w:rPr>
        <w:t>, který spotřebitelům pomůže v</w:t>
      </w:r>
      <w:r w:rsidR="00B27C2D">
        <w:rPr>
          <w:i/>
          <w:iCs/>
        </w:rPr>
        <w:t xml:space="preserve"> jejich </w:t>
      </w:r>
      <w:r w:rsidRPr="0CD5D395">
        <w:rPr>
          <w:i/>
          <w:iCs/>
        </w:rPr>
        <w:t>rozhodování</w:t>
      </w:r>
      <w:r w:rsidR="00B27C2D">
        <w:rPr>
          <w:i/>
          <w:iCs/>
        </w:rPr>
        <w:t>. Díky indikativním cenám lze snadno posoudit</w:t>
      </w:r>
      <w:r w:rsidR="646804E1" w:rsidRPr="0CD5D395">
        <w:rPr>
          <w:i/>
          <w:iCs/>
        </w:rPr>
        <w:t xml:space="preserve"> </w:t>
      </w:r>
      <w:r w:rsidR="4BFEB6DD" w:rsidRPr="0CD5D395">
        <w:rPr>
          <w:i/>
          <w:iCs/>
        </w:rPr>
        <w:t xml:space="preserve">výhodnost </w:t>
      </w:r>
      <w:r w:rsidR="7C3C1068" w:rsidRPr="0CD5D395">
        <w:rPr>
          <w:i/>
          <w:iCs/>
        </w:rPr>
        <w:t xml:space="preserve">fixace ceny, </w:t>
      </w:r>
      <w:r w:rsidR="00B27C2D">
        <w:rPr>
          <w:i/>
          <w:iCs/>
        </w:rPr>
        <w:t xml:space="preserve">nabídku </w:t>
      </w:r>
      <w:r w:rsidR="1AA5C07C" w:rsidRPr="0CD5D395">
        <w:rPr>
          <w:i/>
          <w:iCs/>
        </w:rPr>
        <w:t xml:space="preserve">prolongace nebo </w:t>
      </w:r>
      <w:r w:rsidR="00B27C2D">
        <w:rPr>
          <w:i/>
          <w:iCs/>
        </w:rPr>
        <w:t xml:space="preserve">nového </w:t>
      </w:r>
      <w:r w:rsidR="1AA5C07C" w:rsidRPr="0CD5D395">
        <w:rPr>
          <w:i/>
          <w:iCs/>
        </w:rPr>
        <w:t xml:space="preserve">produktu u stávajícího </w:t>
      </w:r>
      <w:r w:rsidR="00B27C2D">
        <w:rPr>
          <w:i/>
          <w:iCs/>
        </w:rPr>
        <w:t xml:space="preserve">či jiného </w:t>
      </w:r>
      <w:r w:rsidR="1AA5C07C" w:rsidRPr="0CD5D395">
        <w:rPr>
          <w:i/>
          <w:iCs/>
        </w:rPr>
        <w:t>dodavatele</w:t>
      </w:r>
      <w:r w:rsidR="00B27C2D">
        <w:rPr>
          <w:i/>
          <w:iCs/>
        </w:rPr>
        <w:t xml:space="preserve">. Po našem úspěšném srovnávači </w:t>
      </w:r>
      <w:r w:rsidR="00BC703C">
        <w:rPr>
          <w:i/>
          <w:iCs/>
        </w:rPr>
        <w:t xml:space="preserve">přicházíme s </w:t>
      </w:r>
      <w:r w:rsidR="00B27C2D">
        <w:rPr>
          <w:i/>
          <w:iCs/>
        </w:rPr>
        <w:t>další</w:t>
      </w:r>
      <w:r w:rsidR="00BC703C">
        <w:rPr>
          <w:i/>
          <w:iCs/>
        </w:rPr>
        <w:t>m</w:t>
      </w:r>
      <w:r w:rsidR="00B27C2D">
        <w:rPr>
          <w:i/>
          <w:iCs/>
        </w:rPr>
        <w:t xml:space="preserve"> nástroj</w:t>
      </w:r>
      <w:r w:rsidR="00BC703C">
        <w:rPr>
          <w:i/>
          <w:iCs/>
        </w:rPr>
        <w:t>em</w:t>
      </w:r>
      <w:r w:rsidR="00B27C2D">
        <w:rPr>
          <w:i/>
          <w:iCs/>
        </w:rPr>
        <w:t xml:space="preserve"> pro spotřebitele, který </w:t>
      </w:r>
      <w:r w:rsidR="00BC703C">
        <w:rPr>
          <w:i/>
          <w:iCs/>
        </w:rPr>
        <w:t>umožní lepší orientaci na stále složitějším trhu</w:t>
      </w:r>
      <w:r w:rsidRPr="0CD5D395">
        <w:rPr>
          <w:i/>
          <w:iCs/>
        </w:rPr>
        <w:t>,“</w:t>
      </w:r>
      <w:r>
        <w:t xml:space="preserve"> vysvětluje </w:t>
      </w:r>
      <w:r w:rsidRPr="0CD5D395">
        <w:rPr>
          <w:b/>
          <w:bCs/>
        </w:rPr>
        <w:t xml:space="preserve">Jan </w:t>
      </w:r>
      <w:proofErr w:type="spellStart"/>
      <w:r w:rsidRPr="0CD5D395">
        <w:rPr>
          <w:b/>
          <w:bCs/>
        </w:rPr>
        <w:t>Šefránek</w:t>
      </w:r>
      <w:proofErr w:type="spellEnd"/>
      <w:r w:rsidRPr="0CD5D395">
        <w:rPr>
          <w:b/>
          <w:bCs/>
        </w:rPr>
        <w:t>, předseda ERÚ</w:t>
      </w:r>
      <w:r>
        <w:t>.</w:t>
      </w:r>
    </w:p>
    <w:p w14:paraId="291C0423" w14:textId="7A2CEF41" w:rsidR="00C3181C" w:rsidRDefault="7DBBD996" w:rsidP="00501C3F">
      <w:pPr>
        <w:spacing w:after="180"/>
        <w:jc w:val="both"/>
      </w:pPr>
      <w:r>
        <w:t xml:space="preserve">Indikativní </w:t>
      </w:r>
      <w:r w:rsidR="2462F76D">
        <w:t>ceny</w:t>
      </w:r>
      <w:r>
        <w:t xml:space="preserve"> </w:t>
      </w:r>
      <w:r w:rsidR="00BC703C">
        <w:t xml:space="preserve">odpovídají obchodní, tj. </w:t>
      </w:r>
      <w:r>
        <w:t xml:space="preserve">neregulované </w:t>
      </w:r>
      <w:r w:rsidR="00BC703C">
        <w:t xml:space="preserve">složce </w:t>
      </w:r>
      <w:r>
        <w:t>ceny elektřiny nebo plynu. Právě její výši určují dodavatelé na volném trhu, zatímco regulovan</w:t>
      </w:r>
      <w:r w:rsidR="59F0FC05">
        <w:t>á</w:t>
      </w:r>
      <w:r>
        <w:t xml:space="preserve"> složk</w:t>
      </w:r>
      <w:r w:rsidR="081CE3CA">
        <w:t>a</w:t>
      </w:r>
      <w:r>
        <w:t xml:space="preserve"> je pevně daná </w:t>
      </w:r>
      <w:r w:rsidR="5135385E">
        <w:t>cenovými výměry ERÚ</w:t>
      </w:r>
      <w:r>
        <w:t>.</w:t>
      </w:r>
    </w:p>
    <w:p w14:paraId="1A8D6B58" w14:textId="6511D1F3" w:rsidR="00492E45" w:rsidRDefault="7DBBD996" w:rsidP="00C3181C">
      <w:pPr>
        <w:spacing w:after="180"/>
        <w:jc w:val="both"/>
      </w:pPr>
      <w:r>
        <w:t>P</w:t>
      </w:r>
      <w:r w:rsidR="0CB46076">
        <w:t>ro</w:t>
      </w:r>
      <w:r>
        <w:t xml:space="preserve"> stanovení </w:t>
      </w:r>
      <w:r w:rsidR="1F68A7F3">
        <w:t>indikativních</w:t>
      </w:r>
      <w:r w:rsidR="0CB46076">
        <w:t xml:space="preserve"> cen </w:t>
      </w:r>
      <w:r>
        <w:t>je zásadní tzv. indikativní náklad</w:t>
      </w:r>
      <w:r w:rsidR="37C910DB">
        <w:t xml:space="preserve"> nákupu elektřiny nebo plynu</w:t>
      </w:r>
      <w:r>
        <w:t xml:space="preserve">.  Ten </w:t>
      </w:r>
      <w:r w:rsidR="0CB46076">
        <w:t xml:space="preserve">ERÚ počítá </w:t>
      </w:r>
      <w:r w:rsidR="15D669E9">
        <w:t xml:space="preserve">z předpokládaného profilu spotřeby zákazníka a </w:t>
      </w:r>
      <w:r w:rsidR="0CB46076">
        <w:t>kombinac</w:t>
      </w:r>
      <w:r w:rsidR="1BE3005F">
        <w:t xml:space="preserve">e </w:t>
      </w:r>
      <w:r>
        <w:t xml:space="preserve">burzovních cen </w:t>
      </w:r>
      <w:r w:rsidR="0CB46076">
        <w:t xml:space="preserve">(aktuálních i historických), přičemž prostřednictvím vah zohledňuje </w:t>
      </w:r>
      <w:r>
        <w:t xml:space="preserve">konkrétní </w:t>
      </w:r>
      <w:r w:rsidR="0CB46076">
        <w:t>ceny</w:t>
      </w:r>
      <w:r>
        <w:t xml:space="preserve"> v různých hodinách, dnech a měsících. </w:t>
      </w:r>
      <w:r w:rsidR="0CB46076">
        <w:t>Indikativní</w:t>
      </w:r>
      <w:r w:rsidR="3347F813">
        <w:t xml:space="preserve"> ceny</w:t>
      </w:r>
      <w:r w:rsidR="0CB46076">
        <w:t xml:space="preserve"> </w:t>
      </w:r>
      <w:r w:rsidR="00817654">
        <w:t>také</w:t>
      </w:r>
      <w:r w:rsidR="0CB46076">
        <w:t xml:space="preserve"> zahrnuj</w:t>
      </w:r>
      <w:r w:rsidR="1E45C38F">
        <w:t>í</w:t>
      </w:r>
      <w:r w:rsidR="0CB46076">
        <w:t xml:space="preserve"> </w:t>
      </w:r>
      <w:r w:rsidR="0AC1845B">
        <w:t xml:space="preserve">ostatní </w:t>
      </w:r>
      <w:r w:rsidR="0CB46076">
        <w:t>náklady</w:t>
      </w:r>
      <w:r w:rsidR="00817654">
        <w:t xml:space="preserve"> a další položky</w:t>
      </w:r>
      <w:r w:rsidR="0CB46076">
        <w:t xml:space="preserve"> související</w:t>
      </w:r>
      <w:r w:rsidR="5891CF67">
        <w:t xml:space="preserve"> </w:t>
      </w:r>
      <w:r w:rsidR="008E7545">
        <w:t>s</w:t>
      </w:r>
      <w:r w:rsidR="00B37253">
        <w:t> </w:t>
      </w:r>
      <w:r w:rsidR="4D029C2B">
        <w:t>činností obchodníka</w:t>
      </w:r>
      <w:r w:rsidR="0CB46076">
        <w:t>.</w:t>
      </w:r>
    </w:p>
    <w:p w14:paraId="2A2D7691" w14:textId="1646B4C2" w:rsidR="00D3682A" w:rsidRDefault="0CB46076" w:rsidP="00D22729">
      <w:pPr>
        <w:jc w:val="both"/>
      </w:pPr>
      <w:r>
        <w:t xml:space="preserve">Indikativní pásmo nabídkových cen </w:t>
      </w:r>
      <w:r w:rsidR="005B165F">
        <w:t xml:space="preserve">sleduje dlouhodobý </w:t>
      </w:r>
      <w:r>
        <w:t>vývoj na velkoobchodních trzích</w:t>
      </w:r>
      <w:r w:rsidR="005B165F">
        <w:t>,</w:t>
      </w:r>
      <w:r w:rsidR="1513CE41">
        <w:t xml:space="preserve"> a</w:t>
      </w:r>
      <w:r w:rsidR="00D22729">
        <w:t> </w:t>
      </w:r>
      <w:r w:rsidR="1513CE41">
        <w:t xml:space="preserve">realisticky </w:t>
      </w:r>
      <w:r w:rsidR="005B165F">
        <w:t xml:space="preserve">tak </w:t>
      </w:r>
      <w:r w:rsidR="1513CE41">
        <w:t xml:space="preserve">simuluje </w:t>
      </w:r>
      <w:r w:rsidR="3B226494">
        <w:t>obvyklou</w:t>
      </w:r>
      <w:r w:rsidR="1513CE41">
        <w:t xml:space="preserve"> </w:t>
      </w:r>
      <w:r>
        <w:t xml:space="preserve">nákupní strategii dodavatelů. </w:t>
      </w:r>
      <w:r w:rsidR="1513CE41">
        <w:t xml:space="preserve">Také proto ERÚ pásmo stanoví pouze pro fixované produkty, u kterých je </w:t>
      </w:r>
      <w:r w:rsidR="05FF3290">
        <w:t>nákupní strategie</w:t>
      </w:r>
      <w:r w:rsidR="1513CE41">
        <w:t xml:space="preserve"> </w:t>
      </w:r>
      <w:r w:rsidR="005B165F">
        <w:t xml:space="preserve">dobře předvídatelná, </w:t>
      </w:r>
      <w:r w:rsidR="1513CE41">
        <w:t>vzhledem k </w:t>
      </w:r>
      <w:r w:rsidR="09EB043F">
        <w:t xml:space="preserve">nutnosti </w:t>
      </w:r>
      <w:r w:rsidR="1513CE41">
        <w:t>zajiš</w:t>
      </w:r>
      <w:r w:rsidR="005B165F">
        <w:t>t</w:t>
      </w:r>
      <w:r w:rsidR="6B26F772">
        <w:t>ě</w:t>
      </w:r>
      <w:r w:rsidR="1513CE41">
        <w:t>ní fixovaných smluv</w:t>
      </w:r>
      <w:r w:rsidR="005B165F">
        <w:t>.</w:t>
      </w:r>
      <w:r w:rsidR="1513CE41">
        <w:t xml:space="preserve"> </w:t>
      </w:r>
    </w:p>
    <w:p w14:paraId="06B96A5C" w14:textId="299E8055" w:rsidR="00D3682A" w:rsidRPr="006765B2" w:rsidRDefault="1513CE41" w:rsidP="00D3682A">
      <w:pPr>
        <w:spacing w:after="180"/>
        <w:jc w:val="both"/>
      </w:pPr>
      <w:r w:rsidRPr="0CD5D395">
        <w:rPr>
          <w:i/>
          <w:iCs/>
        </w:rPr>
        <w:t>„</w:t>
      </w:r>
      <w:r w:rsidR="005B165F">
        <w:rPr>
          <w:i/>
          <w:iCs/>
        </w:rPr>
        <w:t>I</w:t>
      </w:r>
      <w:r w:rsidR="2B0A12AC" w:rsidRPr="0CD5D395">
        <w:rPr>
          <w:i/>
          <w:iCs/>
        </w:rPr>
        <w:t xml:space="preserve">ndikativní </w:t>
      </w:r>
      <w:r w:rsidRPr="0CD5D395">
        <w:rPr>
          <w:i/>
          <w:iCs/>
        </w:rPr>
        <w:t>cen</w:t>
      </w:r>
      <w:r w:rsidR="47A2CD1B" w:rsidRPr="0CD5D395">
        <w:rPr>
          <w:i/>
          <w:iCs/>
        </w:rPr>
        <w:t>y</w:t>
      </w:r>
      <w:r w:rsidRPr="0CD5D395">
        <w:rPr>
          <w:i/>
          <w:iCs/>
        </w:rPr>
        <w:t xml:space="preserve"> budeme </w:t>
      </w:r>
      <w:r w:rsidR="005B165F">
        <w:rPr>
          <w:i/>
          <w:iCs/>
        </w:rPr>
        <w:t>aktualizovat</w:t>
      </w:r>
      <w:r w:rsidR="005B165F" w:rsidRPr="0CD5D395">
        <w:rPr>
          <w:i/>
          <w:iCs/>
        </w:rPr>
        <w:t xml:space="preserve"> </w:t>
      </w:r>
      <w:r w:rsidRPr="0CD5D395">
        <w:rPr>
          <w:i/>
          <w:iCs/>
        </w:rPr>
        <w:t xml:space="preserve">každý měsíc. </w:t>
      </w:r>
      <w:r w:rsidR="005B165F">
        <w:rPr>
          <w:i/>
          <w:iCs/>
        </w:rPr>
        <w:t>Spotřebitel tak uvidí, jak by se ceny měly pohybovat v dalších týdnech podle vývoje na velkoobchodních trzích. To je důležité zejména nyní, v době turbulentních změn</w:t>
      </w:r>
      <w:r w:rsidRPr="0CD5D395">
        <w:rPr>
          <w:i/>
          <w:iCs/>
        </w:rPr>
        <w:t xml:space="preserve">,“ </w:t>
      </w:r>
      <w:r>
        <w:t xml:space="preserve">říká </w:t>
      </w:r>
      <w:r w:rsidRPr="0CD5D395">
        <w:rPr>
          <w:b/>
          <w:bCs/>
        </w:rPr>
        <w:t xml:space="preserve">Jan </w:t>
      </w:r>
      <w:proofErr w:type="spellStart"/>
      <w:r w:rsidRPr="0CD5D395">
        <w:rPr>
          <w:b/>
          <w:bCs/>
        </w:rPr>
        <w:t>Šefránek</w:t>
      </w:r>
      <w:proofErr w:type="spellEnd"/>
      <w:r>
        <w:t xml:space="preserve"> a </w:t>
      </w:r>
      <w:r w:rsidR="00CB309B">
        <w:t>upřesňuje</w:t>
      </w:r>
      <w:r>
        <w:t xml:space="preserve">: </w:t>
      </w:r>
      <w:r w:rsidRPr="0CD5D395">
        <w:rPr>
          <w:i/>
          <w:iCs/>
        </w:rPr>
        <w:t xml:space="preserve">„To, že najdeme nabídky </w:t>
      </w:r>
      <w:r w:rsidR="00CB309B">
        <w:rPr>
          <w:i/>
          <w:iCs/>
        </w:rPr>
        <w:t>i</w:t>
      </w:r>
      <w:r w:rsidR="00D22729">
        <w:rPr>
          <w:i/>
          <w:iCs/>
        </w:rPr>
        <w:t> </w:t>
      </w:r>
      <w:r w:rsidR="5E10BD0D" w:rsidRPr="0CD5D395">
        <w:rPr>
          <w:i/>
          <w:iCs/>
        </w:rPr>
        <w:t>mimo</w:t>
      </w:r>
      <w:r w:rsidRPr="0CD5D395">
        <w:rPr>
          <w:i/>
          <w:iCs/>
        </w:rPr>
        <w:t xml:space="preserve"> </w:t>
      </w:r>
      <w:r w:rsidR="00CB309B">
        <w:rPr>
          <w:i/>
          <w:iCs/>
        </w:rPr>
        <w:t xml:space="preserve">uvedené </w:t>
      </w:r>
      <w:r w:rsidRPr="0CD5D395">
        <w:rPr>
          <w:i/>
          <w:iCs/>
        </w:rPr>
        <w:t>pásm</w:t>
      </w:r>
      <w:r w:rsidR="00CB309B">
        <w:rPr>
          <w:i/>
          <w:iCs/>
        </w:rPr>
        <w:t>o</w:t>
      </w:r>
      <w:r w:rsidR="6765181B" w:rsidRPr="0CD5D395">
        <w:rPr>
          <w:i/>
          <w:iCs/>
        </w:rPr>
        <w:t>, nemusí</w:t>
      </w:r>
      <w:r w:rsidR="3BEAE34A" w:rsidRPr="0CD5D395">
        <w:rPr>
          <w:i/>
          <w:iCs/>
        </w:rPr>
        <w:t xml:space="preserve"> nutně </w:t>
      </w:r>
      <w:r w:rsidRPr="0CD5D395">
        <w:rPr>
          <w:i/>
          <w:iCs/>
        </w:rPr>
        <w:t>znamen</w:t>
      </w:r>
      <w:r w:rsidR="152B2917" w:rsidRPr="0CD5D395">
        <w:rPr>
          <w:i/>
          <w:iCs/>
        </w:rPr>
        <w:t>at</w:t>
      </w:r>
      <w:r w:rsidR="1C4843A2" w:rsidRPr="0CD5D395">
        <w:rPr>
          <w:i/>
          <w:iCs/>
        </w:rPr>
        <w:t>,</w:t>
      </w:r>
      <w:r w:rsidRPr="0CD5D395">
        <w:rPr>
          <w:i/>
          <w:iCs/>
        </w:rPr>
        <w:t xml:space="preserve"> že jde o </w:t>
      </w:r>
      <w:r w:rsidR="00CB309B">
        <w:rPr>
          <w:i/>
          <w:iCs/>
        </w:rPr>
        <w:t xml:space="preserve">podezřelé </w:t>
      </w:r>
      <w:r w:rsidR="00303FB9">
        <w:rPr>
          <w:i/>
          <w:iCs/>
        </w:rPr>
        <w:t>dodavatele</w:t>
      </w:r>
      <w:r w:rsidRPr="0CD5D395">
        <w:rPr>
          <w:i/>
          <w:iCs/>
        </w:rPr>
        <w:t xml:space="preserve">. Svou roli může hrát například </w:t>
      </w:r>
      <w:r w:rsidR="5E10BD0D" w:rsidRPr="0CD5D395">
        <w:rPr>
          <w:i/>
          <w:iCs/>
        </w:rPr>
        <w:t>zpoždění cenotvorby na maloobchodní</w:t>
      </w:r>
      <w:r w:rsidR="650C68AD" w:rsidRPr="0CD5D395">
        <w:rPr>
          <w:i/>
          <w:iCs/>
        </w:rPr>
        <w:t>m</w:t>
      </w:r>
      <w:r w:rsidR="5E10BD0D" w:rsidRPr="0CD5D395">
        <w:rPr>
          <w:i/>
          <w:iCs/>
        </w:rPr>
        <w:t xml:space="preserve"> trhu</w:t>
      </w:r>
      <w:r w:rsidR="00CB309B">
        <w:rPr>
          <w:i/>
          <w:iCs/>
        </w:rPr>
        <w:t xml:space="preserve">, či </w:t>
      </w:r>
      <w:r w:rsidR="00303FB9">
        <w:rPr>
          <w:i/>
          <w:iCs/>
        </w:rPr>
        <w:t xml:space="preserve">různé obchodní </w:t>
      </w:r>
      <w:r w:rsidR="00CB309B">
        <w:rPr>
          <w:i/>
          <w:iCs/>
        </w:rPr>
        <w:t>strategie</w:t>
      </w:r>
      <w:r w:rsidR="5E10BD0D" w:rsidRPr="0CD5D395">
        <w:rPr>
          <w:i/>
          <w:iCs/>
        </w:rPr>
        <w:t xml:space="preserve">. </w:t>
      </w:r>
      <w:r w:rsidR="00CB309B">
        <w:rPr>
          <w:i/>
          <w:iCs/>
        </w:rPr>
        <w:t xml:space="preserve">Připomenout musíme i to, že </w:t>
      </w:r>
      <w:r w:rsidR="5E10BD0D" w:rsidRPr="0CD5D395">
        <w:rPr>
          <w:i/>
          <w:iCs/>
        </w:rPr>
        <w:t xml:space="preserve">výběr dodavatele není </w:t>
      </w:r>
      <w:r w:rsidR="00CB309B">
        <w:rPr>
          <w:i/>
          <w:iCs/>
        </w:rPr>
        <w:t xml:space="preserve">vždy </w:t>
      </w:r>
      <w:r w:rsidR="5E10BD0D" w:rsidRPr="0CD5D395">
        <w:rPr>
          <w:i/>
          <w:iCs/>
        </w:rPr>
        <w:t>jen o ceně</w:t>
      </w:r>
      <w:r w:rsidR="00303FB9">
        <w:rPr>
          <w:i/>
          <w:iCs/>
        </w:rPr>
        <w:t>, ale i dalších individuálních preferencí spotřebitelů.</w:t>
      </w:r>
      <w:r w:rsidR="5E10BD0D" w:rsidRPr="0CD5D395">
        <w:rPr>
          <w:i/>
          <w:iCs/>
        </w:rPr>
        <w:t>“</w:t>
      </w:r>
    </w:p>
    <w:p w14:paraId="06FE5605" w14:textId="2324DF24" w:rsidR="00B37253" w:rsidRDefault="006765B2" w:rsidP="00501C3F">
      <w:pPr>
        <w:spacing w:after="180"/>
        <w:jc w:val="both"/>
        <w:rPr>
          <w:szCs w:val="20"/>
        </w:rPr>
      </w:pPr>
      <w:r>
        <w:rPr>
          <w:szCs w:val="20"/>
        </w:rPr>
        <w:t xml:space="preserve">Hodnoty </w:t>
      </w:r>
      <w:hyperlink r:id="rId13" w:history="1">
        <w:r w:rsidRPr="00B37253">
          <w:rPr>
            <w:rStyle w:val="Hypertextovodkaz"/>
            <w:szCs w:val="20"/>
          </w:rPr>
          <w:t>Indikativního pásma nabídkových cen</w:t>
        </w:r>
      </w:hyperlink>
      <w:r>
        <w:rPr>
          <w:szCs w:val="20"/>
        </w:rPr>
        <w:t xml:space="preserve"> </w:t>
      </w:r>
      <w:r w:rsidR="00EC3D98">
        <w:rPr>
          <w:szCs w:val="20"/>
        </w:rPr>
        <w:t xml:space="preserve">pro všechny sledované typy produktů </w:t>
      </w:r>
      <w:r>
        <w:rPr>
          <w:szCs w:val="20"/>
        </w:rPr>
        <w:t xml:space="preserve">jsou k dispozici </w:t>
      </w:r>
      <w:r w:rsidR="00EC3D98">
        <w:rPr>
          <w:szCs w:val="20"/>
        </w:rPr>
        <w:t>na webových stránkách ERÚ. Zájemci o detail zde naleznou také historický vývoj tohoto ukazatele nebo podrobné vysvětlení použité metodiky.</w:t>
      </w:r>
    </w:p>
    <w:sectPr w:rsidR="00B37253" w:rsidSect="00CC7906">
      <w:headerReference w:type="default" r:id="rId14"/>
      <w:footerReference w:type="default" r:id="rId15"/>
      <w:type w:val="continuous"/>
      <w:pgSz w:w="11906" w:h="16838" w:code="9"/>
      <w:pgMar w:top="567" w:right="1361" w:bottom="567" w:left="1474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6196" w14:textId="77777777" w:rsidR="00771C13" w:rsidRDefault="00771C13" w:rsidP="006928DE">
      <w:pPr>
        <w:spacing w:after="0" w:line="240" w:lineRule="auto"/>
      </w:pPr>
      <w:r>
        <w:separator/>
      </w:r>
    </w:p>
    <w:p w14:paraId="73A66C2A" w14:textId="77777777" w:rsidR="00771C13" w:rsidRDefault="00771C13"/>
  </w:endnote>
  <w:endnote w:type="continuationSeparator" w:id="0">
    <w:p w14:paraId="0BE63FFF" w14:textId="77777777" w:rsidR="00771C13" w:rsidRDefault="00771C13" w:rsidP="006928DE">
      <w:pPr>
        <w:spacing w:after="0" w:line="240" w:lineRule="auto"/>
      </w:pPr>
      <w:r>
        <w:continuationSeparator/>
      </w:r>
    </w:p>
    <w:p w14:paraId="1B31D56F" w14:textId="77777777" w:rsidR="00771C13" w:rsidRDefault="00771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AB69" w14:textId="77777777" w:rsidR="00404D67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="001252D3" w:rsidRPr="001252D3">
      <w:rPr>
        <w:rFonts w:asciiTheme="minorHAnsi" w:hAnsiTheme="minorHAnsi" w:cstheme="minorHAnsi"/>
        <w:b/>
        <w:color w:val="00459D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Jan Hamrník</w:t>
    </w:r>
  </w:p>
  <w:p w14:paraId="0068D941" w14:textId="77777777" w:rsidR="001252D3" w:rsidRPr="00707A20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51633AA0" w14:textId="77777777" w:rsidR="001252D3" w:rsidRPr="001252D3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66CCE5D0" w14:textId="77777777" w:rsidR="001252D3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color w:val="auto"/>
        <w:sz w:val="16"/>
        <w:szCs w:val="16"/>
      </w:rPr>
      <w:t>666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5D99550C" w14:textId="77777777" w:rsidR="00404D67" w:rsidRPr="00D67EE8" w:rsidRDefault="00707A20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sz w:val="20"/>
        <w:szCs w:val="20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="001252D3"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="001252D3"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0BB1" w14:textId="75EE94EE" w:rsidR="00D61AE1" w:rsidRPr="00D67EE8" w:rsidRDefault="00D61AE1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6AEE" w14:textId="77777777" w:rsidR="00771C13" w:rsidRDefault="00771C13" w:rsidP="006928DE">
      <w:pPr>
        <w:spacing w:after="0" w:line="240" w:lineRule="auto"/>
      </w:pPr>
      <w:r>
        <w:separator/>
      </w:r>
    </w:p>
    <w:p w14:paraId="333C0C5F" w14:textId="77777777" w:rsidR="00771C13" w:rsidRDefault="00771C13"/>
  </w:footnote>
  <w:footnote w:type="continuationSeparator" w:id="0">
    <w:p w14:paraId="7956D979" w14:textId="77777777" w:rsidR="00771C13" w:rsidRDefault="00771C13" w:rsidP="006928DE">
      <w:pPr>
        <w:spacing w:after="0" w:line="240" w:lineRule="auto"/>
      </w:pPr>
      <w:r>
        <w:continuationSeparator/>
      </w:r>
    </w:p>
    <w:p w14:paraId="13E1E388" w14:textId="77777777" w:rsidR="00771C13" w:rsidRDefault="00771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D4E1" w14:textId="77777777" w:rsidR="008510ED" w:rsidRDefault="00CC7906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9BBC6" wp14:editId="6E25505A">
          <wp:simplePos x="0" y="0"/>
          <wp:positionH relativeFrom="page">
            <wp:posOffset>493395</wp:posOffset>
          </wp:positionH>
          <wp:positionV relativeFrom="page">
            <wp:posOffset>360045</wp:posOffset>
          </wp:positionV>
          <wp:extent cx="1404000" cy="795600"/>
          <wp:effectExtent l="0" t="0" r="5715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eru-barevne-pozitivni-provedeni_2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C07" w14:textId="2E16DE0C" w:rsidR="002C42C1" w:rsidRPr="00817654" w:rsidRDefault="002C42C1" w:rsidP="008176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9pt;height:6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163603">
    <w:abstractNumId w:val="1"/>
  </w:num>
  <w:num w:numId="2" w16cid:durableId="1299796024">
    <w:abstractNumId w:val="1"/>
  </w:num>
  <w:num w:numId="3" w16cid:durableId="1611085834">
    <w:abstractNumId w:val="1"/>
  </w:num>
  <w:num w:numId="4" w16cid:durableId="377824584">
    <w:abstractNumId w:val="1"/>
  </w:num>
  <w:num w:numId="5" w16cid:durableId="121076031">
    <w:abstractNumId w:val="1"/>
  </w:num>
  <w:num w:numId="6" w16cid:durableId="570312430">
    <w:abstractNumId w:val="1"/>
  </w:num>
  <w:num w:numId="7" w16cid:durableId="1146049981">
    <w:abstractNumId w:val="0"/>
  </w:num>
  <w:num w:numId="8" w16cid:durableId="618611205">
    <w:abstractNumId w:val="4"/>
  </w:num>
  <w:num w:numId="9" w16cid:durableId="1622569048">
    <w:abstractNumId w:val="6"/>
  </w:num>
  <w:num w:numId="10" w16cid:durableId="88425836">
    <w:abstractNumId w:val="5"/>
  </w:num>
  <w:num w:numId="11" w16cid:durableId="1679385338">
    <w:abstractNumId w:val="3"/>
  </w:num>
  <w:num w:numId="12" w16cid:durableId="201163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31EE6"/>
    <w:rsid w:val="00042B20"/>
    <w:rsid w:val="00047AC2"/>
    <w:rsid w:val="000508A5"/>
    <w:rsid w:val="000508BF"/>
    <w:rsid w:val="000571CB"/>
    <w:rsid w:val="000628D5"/>
    <w:rsid w:val="00062A3B"/>
    <w:rsid w:val="000650B6"/>
    <w:rsid w:val="00071182"/>
    <w:rsid w:val="00072105"/>
    <w:rsid w:val="00075E41"/>
    <w:rsid w:val="00085D46"/>
    <w:rsid w:val="00096C4B"/>
    <w:rsid w:val="000A084F"/>
    <w:rsid w:val="000A28BD"/>
    <w:rsid w:val="000B2ACF"/>
    <w:rsid w:val="000C173C"/>
    <w:rsid w:val="000C616C"/>
    <w:rsid w:val="000D1F5E"/>
    <w:rsid w:val="000D6B86"/>
    <w:rsid w:val="000E0533"/>
    <w:rsid w:val="000E5491"/>
    <w:rsid w:val="000E79F0"/>
    <w:rsid w:val="000F5202"/>
    <w:rsid w:val="000F75D7"/>
    <w:rsid w:val="000F7C3A"/>
    <w:rsid w:val="00104721"/>
    <w:rsid w:val="00107692"/>
    <w:rsid w:val="00111118"/>
    <w:rsid w:val="00114B4B"/>
    <w:rsid w:val="001211F8"/>
    <w:rsid w:val="001252D3"/>
    <w:rsid w:val="001271D0"/>
    <w:rsid w:val="001335DD"/>
    <w:rsid w:val="001336B6"/>
    <w:rsid w:val="00136F3D"/>
    <w:rsid w:val="00142183"/>
    <w:rsid w:val="00143508"/>
    <w:rsid w:val="00145076"/>
    <w:rsid w:val="00145122"/>
    <w:rsid w:val="00145FAB"/>
    <w:rsid w:val="001543AC"/>
    <w:rsid w:val="00166498"/>
    <w:rsid w:val="0017345F"/>
    <w:rsid w:val="00177350"/>
    <w:rsid w:val="001849E6"/>
    <w:rsid w:val="0018545A"/>
    <w:rsid w:val="00192873"/>
    <w:rsid w:val="00193AA8"/>
    <w:rsid w:val="00195A82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568D"/>
    <w:rsid w:val="001E6C42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94B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689D"/>
    <w:rsid w:val="002A31D6"/>
    <w:rsid w:val="002B064F"/>
    <w:rsid w:val="002B105B"/>
    <w:rsid w:val="002B351D"/>
    <w:rsid w:val="002B671C"/>
    <w:rsid w:val="002C42C1"/>
    <w:rsid w:val="002C6EC3"/>
    <w:rsid w:val="002D5110"/>
    <w:rsid w:val="002D63FB"/>
    <w:rsid w:val="002E12A6"/>
    <w:rsid w:val="002E2BEA"/>
    <w:rsid w:val="002E5E62"/>
    <w:rsid w:val="002F0AB8"/>
    <w:rsid w:val="002F21F3"/>
    <w:rsid w:val="002F245E"/>
    <w:rsid w:val="002F5A67"/>
    <w:rsid w:val="00300D31"/>
    <w:rsid w:val="00303FB9"/>
    <w:rsid w:val="0030742A"/>
    <w:rsid w:val="00310A30"/>
    <w:rsid w:val="003203F3"/>
    <w:rsid w:val="00323B5E"/>
    <w:rsid w:val="00323EDA"/>
    <w:rsid w:val="00332C3A"/>
    <w:rsid w:val="00334280"/>
    <w:rsid w:val="0033462F"/>
    <w:rsid w:val="00337693"/>
    <w:rsid w:val="00347A67"/>
    <w:rsid w:val="00350655"/>
    <w:rsid w:val="003521BD"/>
    <w:rsid w:val="0035244C"/>
    <w:rsid w:val="00355AB0"/>
    <w:rsid w:val="0035739A"/>
    <w:rsid w:val="00363661"/>
    <w:rsid w:val="00364DCC"/>
    <w:rsid w:val="00366076"/>
    <w:rsid w:val="003666FC"/>
    <w:rsid w:val="00371634"/>
    <w:rsid w:val="003739F2"/>
    <w:rsid w:val="00373FE6"/>
    <w:rsid w:val="00390C37"/>
    <w:rsid w:val="0039125C"/>
    <w:rsid w:val="00396549"/>
    <w:rsid w:val="003976BB"/>
    <w:rsid w:val="003A6038"/>
    <w:rsid w:val="003B0DAD"/>
    <w:rsid w:val="003B10DB"/>
    <w:rsid w:val="003B18DC"/>
    <w:rsid w:val="003B79F6"/>
    <w:rsid w:val="003C1370"/>
    <w:rsid w:val="003C59C1"/>
    <w:rsid w:val="003D123E"/>
    <w:rsid w:val="003D3F72"/>
    <w:rsid w:val="003D48F1"/>
    <w:rsid w:val="003D68A7"/>
    <w:rsid w:val="003D72D7"/>
    <w:rsid w:val="003E4125"/>
    <w:rsid w:val="003F00F7"/>
    <w:rsid w:val="003F04A5"/>
    <w:rsid w:val="00404D67"/>
    <w:rsid w:val="004053E5"/>
    <w:rsid w:val="00411947"/>
    <w:rsid w:val="0041575C"/>
    <w:rsid w:val="00415E5E"/>
    <w:rsid w:val="00430923"/>
    <w:rsid w:val="00432954"/>
    <w:rsid w:val="00435680"/>
    <w:rsid w:val="004401AA"/>
    <w:rsid w:val="00441A0B"/>
    <w:rsid w:val="00443715"/>
    <w:rsid w:val="004507A8"/>
    <w:rsid w:val="00452360"/>
    <w:rsid w:val="00456A0D"/>
    <w:rsid w:val="0045762D"/>
    <w:rsid w:val="00461344"/>
    <w:rsid w:val="004736D9"/>
    <w:rsid w:val="00476642"/>
    <w:rsid w:val="00483BAC"/>
    <w:rsid w:val="00484C81"/>
    <w:rsid w:val="004865D2"/>
    <w:rsid w:val="00486CE8"/>
    <w:rsid w:val="00492E45"/>
    <w:rsid w:val="004A0E44"/>
    <w:rsid w:val="004A2A4C"/>
    <w:rsid w:val="004A3810"/>
    <w:rsid w:val="004A391F"/>
    <w:rsid w:val="004B08ED"/>
    <w:rsid w:val="004B5667"/>
    <w:rsid w:val="004C17C1"/>
    <w:rsid w:val="004C2271"/>
    <w:rsid w:val="004C77D9"/>
    <w:rsid w:val="004D1507"/>
    <w:rsid w:val="004D1A6B"/>
    <w:rsid w:val="004D27B7"/>
    <w:rsid w:val="004E7AE6"/>
    <w:rsid w:val="004F3140"/>
    <w:rsid w:val="004F5CD5"/>
    <w:rsid w:val="005019F6"/>
    <w:rsid w:val="00501C3F"/>
    <w:rsid w:val="00510576"/>
    <w:rsid w:val="00511193"/>
    <w:rsid w:val="005137D1"/>
    <w:rsid w:val="0052077C"/>
    <w:rsid w:val="005224A9"/>
    <w:rsid w:val="00526D10"/>
    <w:rsid w:val="005309C8"/>
    <w:rsid w:val="00531E13"/>
    <w:rsid w:val="005411AD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96862"/>
    <w:rsid w:val="005A51F1"/>
    <w:rsid w:val="005B165F"/>
    <w:rsid w:val="005C317E"/>
    <w:rsid w:val="005C6331"/>
    <w:rsid w:val="005D0682"/>
    <w:rsid w:val="005D1E40"/>
    <w:rsid w:val="005D3822"/>
    <w:rsid w:val="005D5F4D"/>
    <w:rsid w:val="005D6010"/>
    <w:rsid w:val="005D6096"/>
    <w:rsid w:val="005E0AC8"/>
    <w:rsid w:val="005E7A32"/>
    <w:rsid w:val="005F28CE"/>
    <w:rsid w:val="005F3045"/>
    <w:rsid w:val="00600FA7"/>
    <w:rsid w:val="0061012B"/>
    <w:rsid w:val="006152C3"/>
    <w:rsid w:val="00622B4E"/>
    <w:rsid w:val="00626B39"/>
    <w:rsid w:val="00642D94"/>
    <w:rsid w:val="00647369"/>
    <w:rsid w:val="00653A74"/>
    <w:rsid w:val="006548AF"/>
    <w:rsid w:val="00655B6D"/>
    <w:rsid w:val="00656709"/>
    <w:rsid w:val="006751AC"/>
    <w:rsid w:val="006765B2"/>
    <w:rsid w:val="00685617"/>
    <w:rsid w:val="006928DE"/>
    <w:rsid w:val="00695C15"/>
    <w:rsid w:val="00696E22"/>
    <w:rsid w:val="006A2F62"/>
    <w:rsid w:val="006A54FA"/>
    <w:rsid w:val="006A7D9E"/>
    <w:rsid w:val="006B5839"/>
    <w:rsid w:val="006B5840"/>
    <w:rsid w:val="006C2C22"/>
    <w:rsid w:val="006C306F"/>
    <w:rsid w:val="006C3B5D"/>
    <w:rsid w:val="006C5D01"/>
    <w:rsid w:val="006D3FFE"/>
    <w:rsid w:val="006D5FE2"/>
    <w:rsid w:val="006D6216"/>
    <w:rsid w:val="006D6A1E"/>
    <w:rsid w:val="006E71F3"/>
    <w:rsid w:val="006F48B6"/>
    <w:rsid w:val="00707A20"/>
    <w:rsid w:val="00707C91"/>
    <w:rsid w:val="0071179F"/>
    <w:rsid w:val="00715FDD"/>
    <w:rsid w:val="00721FB1"/>
    <w:rsid w:val="00722104"/>
    <w:rsid w:val="0072672F"/>
    <w:rsid w:val="00732957"/>
    <w:rsid w:val="00743676"/>
    <w:rsid w:val="00743FFD"/>
    <w:rsid w:val="00750A3E"/>
    <w:rsid w:val="00750CB9"/>
    <w:rsid w:val="00760BF7"/>
    <w:rsid w:val="00762394"/>
    <w:rsid w:val="007644E7"/>
    <w:rsid w:val="00771C13"/>
    <w:rsid w:val="00785109"/>
    <w:rsid w:val="007918ED"/>
    <w:rsid w:val="007977DF"/>
    <w:rsid w:val="007A3624"/>
    <w:rsid w:val="007B178E"/>
    <w:rsid w:val="007C14BE"/>
    <w:rsid w:val="007C5374"/>
    <w:rsid w:val="007C6355"/>
    <w:rsid w:val="007D781F"/>
    <w:rsid w:val="007E0BE4"/>
    <w:rsid w:val="007E49C3"/>
    <w:rsid w:val="007E4A14"/>
    <w:rsid w:val="007F35FF"/>
    <w:rsid w:val="007F5352"/>
    <w:rsid w:val="007F5CA1"/>
    <w:rsid w:val="007F7320"/>
    <w:rsid w:val="007F735B"/>
    <w:rsid w:val="008021A3"/>
    <w:rsid w:val="00804F55"/>
    <w:rsid w:val="00806A75"/>
    <w:rsid w:val="008150F6"/>
    <w:rsid w:val="00817654"/>
    <w:rsid w:val="00824B9D"/>
    <w:rsid w:val="00832840"/>
    <w:rsid w:val="008407F1"/>
    <w:rsid w:val="00843945"/>
    <w:rsid w:val="008510ED"/>
    <w:rsid w:val="00853929"/>
    <w:rsid w:val="00853E9F"/>
    <w:rsid w:val="008565E2"/>
    <w:rsid w:val="008752BD"/>
    <w:rsid w:val="00883CB7"/>
    <w:rsid w:val="00887234"/>
    <w:rsid w:val="00893114"/>
    <w:rsid w:val="00895896"/>
    <w:rsid w:val="008A5083"/>
    <w:rsid w:val="008A5357"/>
    <w:rsid w:val="008A6526"/>
    <w:rsid w:val="008B0FCC"/>
    <w:rsid w:val="008B1DD6"/>
    <w:rsid w:val="008C7AD8"/>
    <w:rsid w:val="008E1BF7"/>
    <w:rsid w:val="008E62D6"/>
    <w:rsid w:val="008E7545"/>
    <w:rsid w:val="008F1BBF"/>
    <w:rsid w:val="008F5F95"/>
    <w:rsid w:val="008F60D4"/>
    <w:rsid w:val="008F7386"/>
    <w:rsid w:val="00900430"/>
    <w:rsid w:val="00913E6E"/>
    <w:rsid w:val="009221D7"/>
    <w:rsid w:val="0092264C"/>
    <w:rsid w:val="00941E72"/>
    <w:rsid w:val="009455D9"/>
    <w:rsid w:val="009677FD"/>
    <w:rsid w:val="00967F08"/>
    <w:rsid w:val="009725E7"/>
    <w:rsid w:val="009745C0"/>
    <w:rsid w:val="00982CAF"/>
    <w:rsid w:val="00983ADE"/>
    <w:rsid w:val="00985FCB"/>
    <w:rsid w:val="00992336"/>
    <w:rsid w:val="009938A0"/>
    <w:rsid w:val="00996E3A"/>
    <w:rsid w:val="009A5ED4"/>
    <w:rsid w:val="009A6B6C"/>
    <w:rsid w:val="009A6EB8"/>
    <w:rsid w:val="009B0F19"/>
    <w:rsid w:val="009B7E1F"/>
    <w:rsid w:val="009C33A8"/>
    <w:rsid w:val="009C7233"/>
    <w:rsid w:val="009C7AA4"/>
    <w:rsid w:val="009D1EC7"/>
    <w:rsid w:val="009D6024"/>
    <w:rsid w:val="009E259B"/>
    <w:rsid w:val="009E4FD9"/>
    <w:rsid w:val="009E67FD"/>
    <w:rsid w:val="009F0FAF"/>
    <w:rsid w:val="009F3EE7"/>
    <w:rsid w:val="00A115A8"/>
    <w:rsid w:val="00A36EF8"/>
    <w:rsid w:val="00A41D44"/>
    <w:rsid w:val="00A4541D"/>
    <w:rsid w:val="00A466E0"/>
    <w:rsid w:val="00A4675F"/>
    <w:rsid w:val="00A55E42"/>
    <w:rsid w:val="00A579C4"/>
    <w:rsid w:val="00A65443"/>
    <w:rsid w:val="00A66974"/>
    <w:rsid w:val="00A67729"/>
    <w:rsid w:val="00A7133D"/>
    <w:rsid w:val="00A73BA0"/>
    <w:rsid w:val="00A83DC3"/>
    <w:rsid w:val="00A83E3E"/>
    <w:rsid w:val="00A90649"/>
    <w:rsid w:val="00A92427"/>
    <w:rsid w:val="00A927BE"/>
    <w:rsid w:val="00A952DD"/>
    <w:rsid w:val="00A97F12"/>
    <w:rsid w:val="00AA557B"/>
    <w:rsid w:val="00AB015F"/>
    <w:rsid w:val="00AB1251"/>
    <w:rsid w:val="00AB31DB"/>
    <w:rsid w:val="00AB5CE1"/>
    <w:rsid w:val="00AB5FCF"/>
    <w:rsid w:val="00AC7773"/>
    <w:rsid w:val="00AD46CB"/>
    <w:rsid w:val="00AD712D"/>
    <w:rsid w:val="00AE1652"/>
    <w:rsid w:val="00AE3974"/>
    <w:rsid w:val="00AF04AA"/>
    <w:rsid w:val="00AF4083"/>
    <w:rsid w:val="00B0005F"/>
    <w:rsid w:val="00B130C4"/>
    <w:rsid w:val="00B14B69"/>
    <w:rsid w:val="00B15811"/>
    <w:rsid w:val="00B201B2"/>
    <w:rsid w:val="00B26F30"/>
    <w:rsid w:val="00B27C2D"/>
    <w:rsid w:val="00B30F9B"/>
    <w:rsid w:val="00B37253"/>
    <w:rsid w:val="00B377E4"/>
    <w:rsid w:val="00B43E2B"/>
    <w:rsid w:val="00B47C91"/>
    <w:rsid w:val="00B50A58"/>
    <w:rsid w:val="00B52210"/>
    <w:rsid w:val="00B601C8"/>
    <w:rsid w:val="00B60595"/>
    <w:rsid w:val="00B6105B"/>
    <w:rsid w:val="00B640C3"/>
    <w:rsid w:val="00B67FBD"/>
    <w:rsid w:val="00B762B1"/>
    <w:rsid w:val="00B77963"/>
    <w:rsid w:val="00B80613"/>
    <w:rsid w:val="00B84FE2"/>
    <w:rsid w:val="00B87185"/>
    <w:rsid w:val="00B96AED"/>
    <w:rsid w:val="00BA1071"/>
    <w:rsid w:val="00BA63F0"/>
    <w:rsid w:val="00BB441F"/>
    <w:rsid w:val="00BB4CBA"/>
    <w:rsid w:val="00BB532D"/>
    <w:rsid w:val="00BB55B4"/>
    <w:rsid w:val="00BB5807"/>
    <w:rsid w:val="00BB7AB3"/>
    <w:rsid w:val="00BC703C"/>
    <w:rsid w:val="00BD0661"/>
    <w:rsid w:val="00BD3C29"/>
    <w:rsid w:val="00BD47DA"/>
    <w:rsid w:val="00BD4951"/>
    <w:rsid w:val="00BD646A"/>
    <w:rsid w:val="00BD6C91"/>
    <w:rsid w:val="00BE6C76"/>
    <w:rsid w:val="00BF47A7"/>
    <w:rsid w:val="00BF757E"/>
    <w:rsid w:val="00BF7DEB"/>
    <w:rsid w:val="00C00F09"/>
    <w:rsid w:val="00C0388C"/>
    <w:rsid w:val="00C15057"/>
    <w:rsid w:val="00C223D9"/>
    <w:rsid w:val="00C22ED6"/>
    <w:rsid w:val="00C242B1"/>
    <w:rsid w:val="00C25365"/>
    <w:rsid w:val="00C27155"/>
    <w:rsid w:val="00C3181C"/>
    <w:rsid w:val="00C346AA"/>
    <w:rsid w:val="00C40DFC"/>
    <w:rsid w:val="00C4433F"/>
    <w:rsid w:val="00C444A3"/>
    <w:rsid w:val="00C45C81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87677"/>
    <w:rsid w:val="00CA5051"/>
    <w:rsid w:val="00CA6686"/>
    <w:rsid w:val="00CB0642"/>
    <w:rsid w:val="00CB309B"/>
    <w:rsid w:val="00CB5C16"/>
    <w:rsid w:val="00CC1122"/>
    <w:rsid w:val="00CC4D9F"/>
    <w:rsid w:val="00CC7906"/>
    <w:rsid w:val="00CD6214"/>
    <w:rsid w:val="00CD7553"/>
    <w:rsid w:val="00CE617E"/>
    <w:rsid w:val="00CF2367"/>
    <w:rsid w:val="00CF27D4"/>
    <w:rsid w:val="00CF588E"/>
    <w:rsid w:val="00D04005"/>
    <w:rsid w:val="00D176C0"/>
    <w:rsid w:val="00D22729"/>
    <w:rsid w:val="00D26113"/>
    <w:rsid w:val="00D339D6"/>
    <w:rsid w:val="00D364AA"/>
    <w:rsid w:val="00D3682A"/>
    <w:rsid w:val="00D4023C"/>
    <w:rsid w:val="00D40733"/>
    <w:rsid w:val="00D459E0"/>
    <w:rsid w:val="00D514E4"/>
    <w:rsid w:val="00D52D32"/>
    <w:rsid w:val="00D534C7"/>
    <w:rsid w:val="00D61AE1"/>
    <w:rsid w:val="00D62462"/>
    <w:rsid w:val="00D67EE8"/>
    <w:rsid w:val="00D67FAC"/>
    <w:rsid w:val="00D713A7"/>
    <w:rsid w:val="00D8185B"/>
    <w:rsid w:val="00D94B77"/>
    <w:rsid w:val="00DA302C"/>
    <w:rsid w:val="00DA3158"/>
    <w:rsid w:val="00DA386C"/>
    <w:rsid w:val="00DB054C"/>
    <w:rsid w:val="00DB1A8C"/>
    <w:rsid w:val="00DC1880"/>
    <w:rsid w:val="00DC3A03"/>
    <w:rsid w:val="00DC4666"/>
    <w:rsid w:val="00DD13D6"/>
    <w:rsid w:val="00DD58B2"/>
    <w:rsid w:val="00DD6252"/>
    <w:rsid w:val="00DE5DCB"/>
    <w:rsid w:val="00DF0D6C"/>
    <w:rsid w:val="00DF39F7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491F"/>
    <w:rsid w:val="00E54A42"/>
    <w:rsid w:val="00E57EBD"/>
    <w:rsid w:val="00E60B8F"/>
    <w:rsid w:val="00E60E33"/>
    <w:rsid w:val="00E622EB"/>
    <w:rsid w:val="00E76E8B"/>
    <w:rsid w:val="00E8123B"/>
    <w:rsid w:val="00E82296"/>
    <w:rsid w:val="00E84F0E"/>
    <w:rsid w:val="00E97C66"/>
    <w:rsid w:val="00EB0AA6"/>
    <w:rsid w:val="00EB7897"/>
    <w:rsid w:val="00EB7A52"/>
    <w:rsid w:val="00EC3D98"/>
    <w:rsid w:val="00ED1AE9"/>
    <w:rsid w:val="00ED2BD1"/>
    <w:rsid w:val="00EE24ED"/>
    <w:rsid w:val="00EE57CC"/>
    <w:rsid w:val="00EF5A47"/>
    <w:rsid w:val="00EF5ABA"/>
    <w:rsid w:val="00F0060D"/>
    <w:rsid w:val="00F10C86"/>
    <w:rsid w:val="00F124CB"/>
    <w:rsid w:val="00F14C10"/>
    <w:rsid w:val="00F22AD4"/>
    <w:rsid w:val="00F268A0"/>
    <w:rsid w:val="00F30640"/>
    <w:rsid w:val="00F336B5"/>
    <w:rsid w:val="00F33812"/>
    <w:rsid w:val="00F4225E"/>
    <w:rsid w:val="00F6270A"/>
    <w:rsid w:val="00F73427"/>
    <w:rsid w:val="00F84168"/>
    <w:rsid w:val="00F86961"/>
    <w:rsid w:val="00F878B2"/>
    <w:rsid w:val="00F879D4"/>
    <w:rsid w:val="00F93C69"/>
    <w:rsid w:val="00FA024A"/>
    <w:rsid w:val="00FB3675"/>
    <w:rsid w:val="00FB6439"/>
    <w:rsid w:val="00FB659D"/>
    <w:rsid w:val="00FC37F2"/>
    <w:rsid w:val="00FC54E6"/>
    <w:rsid w:val="00FD0140"/>
    <w:rsid w:val="00FD3EE8"/>
    <w:rsid w:val="00FD70FD"/>
    <w:rsid w:val="00FE5B2E"/>
    <w:rsid w:val="00FF1BB6"/>
    <w:rsid w:val="00FF396B"/>
    <w:rsid w:val="01C71FA8"/>
    <w:rsid w:val="02A722F4"/>
    <w:rsid w:val="03E22228"/>
    <w:rsid w:val="043082B9"/>
    <w:rsid w:val="05969AE4"/>
    <w:rsid w:val="05FF3290"/>
    <w:rsid w:val="0740BBCC"/>
    <w:rsid w:val="07E7C0BE"/>
    <w:rsid w:val="081CE3CA"/>
    <w:rsid w:val="09EB043F"/>
    <w:rsid w:val="0A6EA396"/>
    <w:rsid w:val="0AC1845B"/>
    <w:rsid w:val="0CB46076"/>
    <w:rsid w:val="0CD5D395"/>
    <w:rsid w:val="0F531A30"/>
    <w:rsid w:val="1130F3B2"/>
    <w:rsid w:val="127E444F"/>
    <w:rsid w:val="1444994A"/>
    <w:rsid w:val="1469D84F"/>
    <w:rsid w:val="14EDDDA4"/>
    <w:rsid w:val="1513CE41"/>
    <w:rsid w:val="152B2917"/>
    <w:rsid w:val="15D669E9"/>
    <w:rsid w:val="16CF367C"/>
    <w:rsid w:val="1772E6AD"/>
    <w:rsid w:val="17777DE0"/>
    <w:rsid w:val="198FDBE1"/>
    <w:rsid w:val="1AA5C07C"/>
    <w:rsid w:val="1ABB0C0D"/>
    <w:rsid w:val="1B4EEA06"/>
    <w:rsid w:val="1BE3005F"/>
    <w:rsid w:val="1C4843A2"/>
    <w:rsid w:val="1D90C6B7"/>
    <w:rsid w:val="1DBF5A6A"/>
    <w:rsid w:val="1E45C38F"/>
    <w:rsid w:val="1E4AE9F9"/>
    <w:rsid w:val="1E9A18A4"/>
    <w:rsid w:val="1F68A7F3"/>
    <w:rsid w:val="1F6D926B"/>
    <w:rsid w:val="2180E1D3"/>
    <w:rsid w:val="2462F76D"/>
    <w:rsid w:val="25FDCAC0"/>
    <w:rsid w:val="26C7AC8A"/>
    <w:rsid w:val="282DA9AB"/>
    <w:rsid w:val="2B0A12AC"/>
    <w:rsid w:val="2C2EBAB6"/>
    <w:rsid w:val="2EFD8A17"/>
    <w:rsid w:val="3046B083"/>
    <w:rsid w:val="31B5A417"/>
    <w:rsid w:val="3347F813"/>
    <w:rsid w:val="3691C678"/>
    <w:rsid w:val="37C910DB"/>
    <w:rsid w:val="3B226494"/>
    <w:rsid w:val="3B5750BB"/>
    <w:rsid w:val="3B8B24F1"/>
    <w:rsid w:val="3BB57BE3"/>
    <w:rsid w:val="3BEAE34A"/>
    <w:rsid w:val="407BDAAF"/>
    <w:rsid w:val="4183D392"/>
    <w:rsid w:val="427FCFF9"/>
    <w:rsid w:val="441FA1DD"/>
    <w:rsid w:val="47A2CD1B"/>
    <w:rsid w:val="4804860A"/>
    <w:rsid w:val="480BAD61"/>
    <w:rsid w:val="4AC7E8F8"/>
    <w:rsid w:val="4BFEB6DD"/>
    <w:rsid w:val="4CC683A4"/>
    <w:rsid w:val="4D029C2B"/>
    <w:rsid w:val="4DB6E11D"/>
    <w:rsid w:val="510237BD"/>
    <w:rsid w:val="5135385E"/>
    <w:rsid w:val="5177C30D"/>
    <w:rsid w:val="51937855"/>
    <w:rsid w:val="54958F08"/>
    <w:rsid w:val="55048375"/>
    <w:rsid w:val="5540F2E2"/>
    <w:rsid w:val="56D4AA22"/>
    <w:rsid w:val="576344D8"/>
    <w:rsid w:val="578878D9"/>
    <w:rsid w:val="581027C3"/>
    <w:rsid w:val="5891CF67"/>
    <w:rsid w:val="59F0FC05"/>
    <w:rsid w:val="5D1C0C40"/>
    <w:rsid w:val="5DBFDC8D"/>
    <w:rsid w:val="5E10BD0D"/>
    <w:rsid w:val="5E259B86"/>
    <w:rsid w:val="5F4441CE"/>
    <w:rsid w:val="6071176C"/>
    <w:rsid w:val="61BBBBE1"/>
    <w:rsid w:val="643C4B38"/>
    <w:rsid w:val="646804E1"/>
    <w:rsid w:val="64BE98BA"/>
    <w:rsid w:val="650C68AD"/>
    <w:rsid w:val="6765181B"/>
    <w:rsid w:val="682E5EBB"/>
    <w:rsid w:val="6B26F772"/>
    <w:rsid w:val="6CB65B15"/>
    <w:rsid w:val="6D13E76D"/>
    <w:rsid w:val="6DDAE393"/>
    <w:rsid w:val="6DE2CE56"/>
    <w:rsid w:val="6F3501EB"/>
    <w:rsid w:val="70209792"/>
    <w:rsid w:val="7166DD8E"/>
    <w:rsid w:val="72290FB7"/>
    <w:rsid w:val="7338DAA2"/>
    <w:rsid w:val="7344ADD9"/>
    <w:rsid w:val="74F68CFD"/>
    <w:rsid w:val="78380645"/>
    <w:rsid w:val="791FB286"/>
    <w:rsid w:val="79D04B5B"/>
    <w:rsid w:val="7B0A0484"/>
    <w:rsid w:val="7C3C1068"/>
    <w:rsid w:val="7DBBD996"/>
    <w:rsid w:val="7E14BE94"/>
    <w:rsid w:val="7EBB8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0A5B1"/>
  <w15:docId w15:val="{EF8B4B9E-EBBA-4219-8735-008722C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E82296"/>
    <w:pPr>
      <w:keepNext/>
      <w:keepLines/>
      <w:spacing w:before="0" w:line="240" w:lineRule="auto"/>
      <w:outlineLvl w:val="0"/>
    </w:pPr>
    <w:rPr>
      <w:rFonts w:eastAsiaTheme="minorHAnsi"/>
      <w:b/>
      <w:bCs/>
      <w:color w:val="00459D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E82296"/>
    <w:rPr>
      <w:rFonts w:eastAsiaTheme="minorHAnsi"/>
      <w:b/>
      <w:bCs/>
      <w:color w:val="00459D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C87677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00459D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C87677"/>
    <w:rPr>
      <w:rFonts w:eastAsiaTheme="minorHAnsi"/>
      <w:b/>
      <w:bCs/>
      <w:color w:val="00459D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C87677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C87677"/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C87677"/>
    <w:pPr>
      <w:keepNext/>
      <w:keepLines/>
      <w:spacing w:before="0" w:line="240" w:lineRule="auto"/>
    </w:pPr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C87677"/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C87677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00459D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C87677"/>
    <w:rPr>
      <w:rFonts w:eastAsiaTheme="minorHAnsi"/>
      <w:b/>
      <w:color w:val="00459D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C87677"/>
    <w:pPr>
      <w:keepNext/>
      <w:keepLines/>
      <w:spacing w:before="480" w:line="240" w:lineRule="auto"/>
      <w:ind w:left="851" w:hanging="851"/>
    </w:pPr>
    <w:rPr>
      <w:rFonts w:eastAsiaTheme="minorHAnsi"/>
      <w:b/>
      <w:color w:val="00459D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C87677"/>
    <w:pPr>
      <w:keepNext/>
      <w:spacing w:before="240" w:line="240" w:lineRule="auto"/>
    </w:pPr>
    <w:rPr>
      <w:rFonts w:eastAsiaTheme="minorHAnsi"/>
      <w:b/>
      <w:color w:val="00459D"/>
      <w:lang w:eastAsia="en-US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semiHidden/>
    <w:rsid w:val="00071182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71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table" w:styleId="Svtlmkatabulky">
    <w:name w:val="Grid Table Light"/>
    <w:basedOn w:val="Normlntabulka"/>
    <w:uiPriority w:val="40"/>
    <w:rsid w:val="003B0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5D3822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D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ipn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7c6a63-f639-4f12-9225-24f059d99d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28859888366E47B6C767E61478B20C" ma:contentTypeVersion="9" ma:contentTypeDescription="Vytvoří nový dokument" ma:contentTypeScope="" ma:versionID="a02f2fc26a646fa7dc6cb802ffa835d6">
  <xsd:schema xmlns:xsd="http://www.w3.org/2001/XMLSchema" xmlns:xs="http://www.w3.org/2001/XMLSchema" xmlns:p="http://schemas.microsoft.com/office/2006/metadata/properties" xmlns:ns3="557c6a63-f639-4f12-9225-24f059d99d69" targetNamespace="http://schemas.microsoft.com/office/2006/metadata/properties" ma:root="true" ma:fieldsID="7bb0611890beac00917c8a1fbcea8752" ns3:_="">
    <xsd:import namespace="557c6a63-f639-4f12-9225-24f059d99d6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c6a63-f639-4f12-9225-24f059d99d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557c6a63-f639-4f12-9225-24f059d99d69"/>
  </ds:schemaRefs>
</ds:datastoreItem>
</file>

<file path=customXml/itemProps2.xml><?xml version="1.0" encoding="utf-8"?>
<ds:datastoreItem xmlns:ds="http://schemas.openxmlformats.org/officeDocument/2006/customXml" ds:itemID="{69BAA7F5-FEFF-4130-92CE-D079F98EC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c6a63-f639-4f12-9225-24f059d99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C289B-FCED-4FE2-B8F7-D9719D95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55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Kebort Michal Bc.</cp:lastModifiedBy>
  <cp:revision>4</cp:revision>
  <cp:lastPrinted>2025-10-30T08:49:00Z</cp:lastPrinted>
  <dcterms:created xsi:type="dcterms:W3CDTF">2026-04-01T06:36:00Z</dcterms:created>
  <dcterms:modified xsi:type="dcterms:W3CDTF">2026-04-01T06:58:00Z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0x010100DD28859888366E47B6C767E61478B20C</vt:lpwstr>
  </property>
  <property fmtid="{D5CDD505-2E9C-101B-9397-08002B2CF9AE}" pid="3" name="Kategorie">
    <vt:lpwstr>Spisová služba</vt:lpwstr>
  </property>
</Properties>
</file>