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96ED67" w14:textId="1F8AF6A9" w:rsidR="00B1575D" w:rsidRPr="00E66EAA" w:rsidRDefault="00B1575D" w:rsidP="00B1575D">
      <w:pPr>
        <w:pStyle w:val="Nadpis1"/>
        <w:spacing w:before="360"/>
      </w:pPr>
      <w:r w:rsidRPr="00E66EAA">
        <w:t>ERÚ avizuje</w:t>
      </w:r>
      <w:r w:rsidR="007564DA" w:rsidRPr="00E66EAA">
        <w:t xml:space="preserve"> </w:t>
      </w:r>
      <w:r w:rsidRPr="00E66EAA">
        <w:t>obrat v</w:t>
      </w:r>
      <w:r w:rsidR="008D08E0">
        <w:t> </w:t>
      </w:r>
      <w:r w:rsidRPr="00E66EAA">
        <w:t>řízení</w:t>
      </w:r>
      <w:r w:rsidR="008D08E0">
        <w:t xml:space="preserve"> </w:t>
      </w:r>
      <w:r w:rsidRPr="00E66EAA">
        <w:t>o zachování provozu Elektrárny Chvaletice</w:t>
      </w:r>
    </w:p>
    <w:p w14:paraId="6B788E38" w14:textId="0D31FC69" w:rsidR="00046AAB" w:rsidRPr="00E66EAA" w:rsidRDefault="003661FB" w:rsidP="00046AAB">
      <w:pPr>
        <w:shd w:val="clear" w:color="auto" w:fill="FFFFFF" w:themeFill="background1"/>
      </w:pPr>
      <w:r>
        <w:t>20</w:t>
      </w:r>
      <w:r w:rsidR="00046AAB" w:rsidRPr="00E66EAA">
        <w:t xml:space="preserve">. </w:t>
      </w:r>
      <w:r w:rsidR="00EF201A" w:rsidRPr="00E66EAA">
        <w:t>10</w:t>
      </w:r>
      <w:r w:rsidR="00046AAB" w:rsidRPr="00E66EAA">
        <w:t>. 2026</w:t>
      </w:r>
    </w:p>
    <w:p w14:paraId="0F24DB48" w14:textId="51AD018A" w:rsidR="00B1575D" w:rsidRPr="00E66EAA" w:rsidRDefault="00B1575D" w:rsidP="00B23CBF">
      <w:pPr>
        <w:pStyle w:val="Perex"/>
      </w:pPr>
      <w:r w:rsidRPr="00E66EAA">
        <w:t xml:space="preserve">Energetický regulační úřad (ERÚ) vede správní řízení o </w:t>
      </w:r>
      <w:r w:rsidR="007561A1" w:rsidRPr="00E66EAA">
        <w:t>uložení</w:t>
      </w:r>
      <w:r w:rsidRPr="00E66EAA">
        <w:t xml:space="preserve"> opatření nad rámec licence, které má zajistit zachování provozu Elektrárny Chvaletice</w:t>
      </w:r>
      <w:r w:rsidR="00ED2374" w:rsidRPr="00E66EAA">
        <w:t xml:space="preserve"> na základě</w:t>
      </w:r>
      <w:r w:rsidR="007564DA" w:rsidRPr="00E66EAA">
        <w:t xml:space="preserve"> </w:t>
      </w:r>
      <w:r w:rsidR="00ED2374" w:rsidRPr="00E66EAA">
        <w:t>lednového</w:t>
      </w:r>
      <w:r w:rsidR="007561A1" w:rsidRPr="00E66EAA">
        <w:t xml:space="preserve"> vyhodnocení </w:t>
      </w:r>
      <w:r w:rsidR="00DE4880" w:rsidRPr="00E66EAA">
        <w:t xml:space="preserve">potřebnosti zdrojů, které provedla </w:t>
      </w:r>
      <w:r w:rsidR="007561A1" w:rsidRPr="00E66EAA">
        <w:t xml:space="preserve">společnost ČEPS. </w:t>
      </w:r>
      <w:r w:rsidR="003328F0" w:rsidRPr="00E66EAA">
        <w:t>S ohledem na</w:t>
      </w:r>
      <w:r w:rsidR="00DE4880" w:rsidRPr="00E66EAA">
        <w:t xml:space="preserve"> </w:t>
      </w:r>
      <w:r w:rsidR="001B7922" w:rsidRPr="00E66EAA">
        <w:t>nov</w:t>
      </w:r>
      <w:r w:rsidR="003328F0" w:rsidRPr="00E66EAA">
        <w:t>é</w:t>
      </w:r>
      <w:r w:rsidR="001B7922" w:rsidRPr="00E66EAA">
        <w:t xml:space="preserve"> skutečnost</w:t>
      </w:r>
      <w:r w:rsidR="003328F0" w:rsidRPr="00E66EAA">
        <w:t>i</w:t>
      </w:r>
      <w:r w:rsidR="00DE4880" w:rsidRPr="00E66EAA">
        <w:t xml:space="preserve"> si ERÚ vyžádal </w:t>
      </w:r>
      <w:r w:rsidR="003328F0" w:rsidRPr="00E66EAA">
        <w:t>nové posouzení potřebnosti</w:t>
      </w:r>
      <w:r w:rsidR="00AA4687">
        <w:t xml:space="preserve"> tohoto zdroje</w:t>
      </w:r>
      <w:r w:rsidR="003328F0" w:rsidRPr="00E66EAA">
        <w:t xml:space="preserve">. Podle aktualizované </w:t>
      </w:r>
      <w:r w:rsidR="00DE4880" w:rsidRPr="00E66EAA">
        <w:t>analýzy</w:t>
      </w:r>
      <w:r w:rsidR="003328F0" w:rsidRPr="00E66EAA">
        <w:t>, kterou ERÚ obdržel</w:t>
      </w:r>
      <w:r w:rsidR="00AA4687">
        <w:t>,</w:t>
      </w:r>
      <w:r w:rsidRPr="00E66EAA">
        <w:t xml:space="preserve"> bude možné zajistit </w:t>
      </w:r>
      <w:r w:rsidR="00DE4880" w:rsidRPr="00E66EAA">
        <w:t>provozování</w:t>
      </w:r>
      <w:r w:rsidRPr="00E66EAA">
        <w:t xml:space="preserve"> soustavy i bez </w:t>
      </w:r>
      <w:r w:rsidR="00AA4687">
        <w:t>Elektrárny Chvaletice</w:t>
      </w:r>
      <w:r w:rsidRPr="00E66EAA">
        <w:t xml:space="preserve">. Nové vyhodnocení zohledňuje dopady aktuálního vývoje v energetice i opatření, která pro navýšení stability </w:t>
      </w:r>
      <w:r w:rsidR="00DE4880" w:rsidRPr="00E66EAA">
        <w:t>provádí</w:t>
      </w:r>
      <w:r w:rsidRPr="00E66EAA">
        <w:t xml:space="preserve"> společnost ČEPS. </w:t>
      </w:r>
    </w:p>
    <w:p w14:paraId="13FD201E" w14:textId="146C9178" w:rsidR="00B1575D" w:rsidRPr="00E66EAA" w:rsidRDefault="00B1575D" w:rsidP="00B1575D">
      <w:r w:rsidRPr="00E66EAA">
        <w:t xml:space="preserve">V listopadu 2025 oznámila skupina Sev.en, že </w:t>
      </w:r>
      <w:r w:rsidR="0042103B" w:rsidRPr="00E66EAA">
        <w:t>nejpozději do 31. března</w:t>
      </w:r>
      <w:r w:rsidR="003328F0" w:rsidRPr="00E66EAA">
        <w:t xml:space="preserve"> 2027</w:t>
      </w:r>
      <w:r w:rsidR="0042103B" w:rsidRPr="00E66EAA">
        <w:t xml:space="preserve"> </w:t>
      </w:r>
      <w:r w:rsidRPr="00E66EAA">
        <w:t xml:space="preserve">ukončí provoz Elektrárny Chvaletice, Elektrárny Počerady a Teplárny Kladno. </w:t>
      </w:r>
      <w:r w:rsidR="001C5376" w:rsidRPr="00E66EAA">
        <w:t>O</w:t>
      </w:r>
      <w:r w:rsidRPr="00E66EAA">
        <w:t xml:space="preserve"> takovém záměru musí držitel licence informovat nejméně s</w:t>
      </w:r>
      <w:r w:rsidR="0042103B" w:rsidRPr="00E66EAA">
        <w:t> </w:t>
      </w:r>
      <w:r w:rsidRPr="00E66EAA">
        <w:t xml:space="preserve">jedenáctiměsíčním předstihem </w:t>
      </w:r>
      <w:r w:rsidR="0042103B" w:rsidRPr="00E66EAA">
        <w:t>společnost ČEPS, která</w:t>
      </w:r>
      <w:r w:rsidR="00DE4880" w:rsidRPr="00E66EAA">
        <w:t xml:space="preserve"> následně</w:t>
      </w:r>
      <w:r w:rsidR="0042103B" w:rsidRPr="00E66EAA">
        <w:t>,</w:t>
      </w:r>
      <w:r w:rsidR="00DE4880" w:rsidRPr="00E66EAA">
        <w:t xml:space="preserve"> na základě vyhodnocení potřebnosti zdrojů</w:t>
      </w:r>
      <w:r w:rsidR="0042103B" w:rsidRPr="00E66EAA">
        <w:t>,</w:t>
      </w:r>
      <w:r w:rsidRPr="00E66EAA">
        <w:t xml:space="preserve"> může požadovat udržení části zdrojů v provozu kvůli zachování bezpečnosti a</w:t>
      </w:r>
      <w:r w:rsidR="000508FC">
        <w:t> </w:t>
      </w:r>
      <w:r w:rsidRPr="00E66EAA">
        <w:t xml:space="preserve">spolehlivosti elektrizační soustavy. </w:t>
      </w:r>
    </w:p>
    <w:p w14:paraId="70C5D2E5" w14:textId="1ECD2AA9" w:rsidR="00B1575D" w:rsidRPr="00E66EAA" w:rsidRDefault="00B1575D" w:rsidP="00B1575D">
      <w:r w:rsidRPr="00E66EAA">
        <w:t xml:space="preserve">Vyhodnocení obdržel ERÚ v lednu letošního roku. Analýza označila za potřebné dočasné zachování provozu dvou bloků </w:t>
      </w:r>
      <w:r w:rsidR="00C67F0A" w:rsidRPr="00E66EAA">
        <w:t>Elektrárny Chvaletice</w:t>
      </w:r>
      <w:r w:rsidRPr="00E66EAA">
        <w:t xml:space="preserve">, jejichž funkce měla být nezbytná pro zachování systémové přiměřenosti. ERÚ </w:t>
      </w:r>
      <w:r w:rsidR="00C67F0A" w:rsidRPr="00E66EAA">
        <w:t xml:space="preserve">následně na základě energetického zákona </w:t>
      </w:r>
      <w:r w:rsidRPr="00E66EAA">
        <w:t>zahájil správní řízení</w:t>
      </w:r>
      <w:r w:rsidR="00C67F0A" w:rsidRPr="00E66EAA">
        <w:t xml:space="preserve"> s cílem uložení povinnosti provozovat daný zdroj a stanovení odpovídající finanční náhrady</w:t>
      </w:r>
      <w:r w:rsidRPr="00E66EAA">
        <w:t xml:space="preserve">, která </w:t>
      </w:r>
      <w:r w:rsidR="00B23CBF" w:rsidRPr="00E66EAA">
        <w:t>by měla být</w:t>
      </w:r>
      <w:r w:rsidRPr="00E66EAA">
        <w:t xml:space="preserve"> </w:t>
      </w:r>
      <w:r w:rsidR="001B7922" w:rsidRPr="00E66EAA">
        <w:t>provozovateli</w:t>
      </w:r>
      <w:r w:rsidRPr="00E66EAA">
        <w:t xml:space="preserve"> kompenzována</w:t>
      </w:r>
      <w:r w:rsidR="00C67F0A" w:rsidRPr="00E66EAA">
        <w:t>.</w:t>
      </w:r>
    </w:p>
    <w:p w14:paraId="70389DA4" w14:textId="1E5FA085" w:rsidR="00B1575D" w:rsidRPr="00E66EAA" w:rsidRDefault="00B1575D" w:rsidP="00B1575D">
      <w:r w:rsidRPr="00E66EAA">
        <w:t xml:space="preserve">Od ledna se však podstatně změnily vnější podmínky, a </w:t>
      </w:r>
      <w:r w:rsidR="00C67F0A" w:rsidRPr="00E66EAA">
        <w:t xml:space="preserve">proto si </w:t>
      </w:r>
      <w:r w:rsidRPr="00E66EAA">
        <w:t xml:space="preserve">ERÚ v rámci probíhajícího správního řízení </w:t>
      </w:r>
      <w:r w:rsidR="00C67F0A" w:rsidRPr="00E66EAA">
        <w:t xml:space="preserve">vyžádal od </w:t>
      </w:r>
      <w:r w:rsidRPr="00E66EAA">
        <w:t>společnost</w:t>
      </w:r>
      <w:r w:rsidR="00C67F0A" w:rsidRPr="00E66EAA">
        <w:t>i</w:t>
      </w:r>
      <w:r w:rsidRPr="00E66EAA">
        <w:t xml:space="preserve"> ČEPS aktualizaci předmětné analýzy.</w:t>
      </w:r>
      <w:r w:rsidR="00BC5CD3" w:rsidRPr="00E66EAA">
        <w:t xml:space="preserve"> </w:t>
      </w:r>
      <w:r w:rsidR="0042103B" w:rsidRPr="00E66EAA">
        <w:t xml:space="preserve">Úřad </w:t>
      </w:r>
      <w:r w:rsidR="001C5376" w:rsidRPr="00E66EAA">
        <w:t xml:space="preserve">si vyžádal </w:t>
      </w:r>
      <w:r w:rsidR="0042103B" w:rsidRPr="00E66EAA">
        <w:t xml:space="preserve">také </w:t>
      </w:r>
      <w:r w:rsidR="001C5376" w:rsidRPr="00E66EAA">
        <w:t xml:space="preserve">vyjádření od Elektrárny Chvaletice a </w:t>
      </w:r>
      <w:r w:rsidR="0042103B" w:rsidRPr="00E66EAA">
        <w:t xml:space="preserve">Elektrárny </w:t>
      </w:r>
      <w:r w:rsidR="001C5376" w:rsidRPr="00E66EAA">
        <w:t>Počerady</w:t>
      </w:r>
      <w:r w:rsidR="003328F0" w:rsidRPr="00E66EAA">
        <w:t>, zda nadále plánují ukončení provozu zdrojů v původně oznámeném termínu</w:t>
      </w:r>
      <w:r w:rsidR="001C5376" w:rsidRPr="00E66EAA">
        <w:t>.</w:t>
      </w:r>
    </w:p>
    <w:p w14:paraId="129E68D8" w14:textId="081DB701" w:rsidR="00B1575D" w:rsidRPr="00E66EAA" w:rsidRDefault="00B1575D" w:rsidP="00B1575D">
      <w:r w:rsidRPr="00E66EAA">
        <w:t xml:space="preserve">Z aktualizovaného vyhodnocení dopadů, které společnost ČEPS předala ERÚ, vyplývá, že </w:t>
      </w:r>
      <w:r w:rsidR="007564DA" w:rsidRPr="00E66EAA">
        <w:t>provoz</w:t>
      </w:r>
      <w:r w:rsidRPr="00E66EAA">
        <w:t xml:space="preserve"> soustavy bude </w:t>
      </w:r>
      <w:r w:rsidR="00C67F0A" w:rsidRPr="00E66EAA">
        <w:t xml:space="preserve">možné </w:t>
      </w:r>
      <w:r w:rsidR="00AD3260" w:rsidRPr="00E66EAA">
        <w:t xml:space="preserve">zabezpečit </w:t>
      </w:r>
      <w:r w:rsidRPr="00E66EAA">
        <w:t>i bez Elektrárny Chvaletice</w:t>
      </w:r>
      <w:r w:rsidR="00BC5CD3" w:rsidRPr="00E66EAA">
        <w:t xml:space="preserve">, </w:t>
      </w:r>
      <w:r w:rsidR="001B7922" w:rsidRPr="00E66EAA">
        <w:t xml:space="preserve">a to </w:t>
      </w:r>
      <w:r w:rsidR="00BC5CD3" w:rsidRPr="00E66EAA">
        <w:t xml:space="preserve">pomocí </w:t>
      </w:r>
      <w:r w:rsidR="001B7922" w:rsidRPr="00E66EAA">
        <w:t xml:space="preserve">souboru </w:t>
      </w:r>
      <w:r w:rsidR="00BC5CD3" w:rsidRPr="00E66EAA">
        <w:t xml:space="preserve">technických, </w:t>
      </w:r>
      <w:r w:rsidR="003328F0" w:rsidRPr="00E66EAA">
        <w:t>provozních</w:t>
      </w:r>
      <w:r w:rsidR="00BC5CD3" w:rsidRPr="00E66EAA">
        <w:t xml:space="preserve"> a koordinačních opatření</w:t>
      </w:r>
      <w:r w:rsidRPr="00E66EAA">
        <w:t>.</w:t>
      </w:r>
    </w:p>
    <w:p w14:paraId="6228DC6A" w14:textId="24156E6E" w:rsidR="00B1575D" w:rsidRPr="00E66EAA" w:rsidRDefault="00B1575D" w:rsidP="00B1575D">
      <w:r w:rsidRPr="00E66EAA">
        <w:rPr>
          <w:i/>
          <w:iCs/>
        </w:rPr>
        <w:t xml:space="preserve">„Správní řízení dosud probíhá, </w:t>
      </w:r>
      <w:r w:rsidR="00AA4687">
        <w:rPr>
          <w:i/>
          <w:iCs/>
        </w:rPr>
        <w:t>ale</w:t>
      </w:r>
      <w:r w:rsidRPr="00E66EAA">
        <w:rPr>
          <w:i/>
          <w:iCs/>
        </w:rPr>
        <w:t xml:space="preserve"> </w:t>
      </w:r>
      <w:r w:rsidR="00AA4687">
        <w:rPr>
          <w:i/>
          <w:iCs/>
        </w:rPr>
        <w:t>pravděpodobně</w:t>
      </w:r>
      <w:r w:rsidRPr="00E66EAA">
        <w:rPr>
          <w:i/>
          <w:iCs/>
        </w:rPr>
        <w:t xml:space="preserve"> bude ukončeno, aniž by bylo nutné </w:t>
      </w:r>
      <w:r w:rsidR="00664EA8" w:rsidRPr="00E66EAA">
        <w:rPr>
          <w:i/>
          <w:iCs/>
        </w:rPr>
        <w:t xml:space="preserve">nařídit pokračování provozu Elektrárny Chvaletice. </w:t>
      </w:r>
      <w:r w:rsidRPr="00E66EAA">
        <w:rPr>
          <w:i/>
          <w:iCs/>
        </w:rPr>
        <w:t xml:space="preserve">Díky aktuálnímu vývoji a opatřením ČEPS </w:t>
      </w:r>
      <w:r w:rsidR="007564DA" w:rsidRPr="00E66EAA">
        <w:rPr>
          <w:i/>
          <w:iCs/>
        </w:rPr>
        <w:t xml:space="preserve">by </w:t>
      </w:r>
      <w:r w:rsidR="00AD3260" w:rsidRPr="00E66EAA">
        <w:rPr>
          <w:i/>
          <w:iCs/>
        </w:rPr>
        <w:t>provoz soustavy mohl být zabezpečen</w:t>
      </w:r>
      <w:r w:rsidR="00AA4687">
        <w:rPr>
          <w:i/>
          <w:iCs/>
        </w:rPr>
        <w:t xml:space="preserve"> bez nutnosti </w:t>
      </w:r>
      <w:r w:rsidR="001C5376" w:rsidRPr="00E66EAA">
        <w:rPr>
          <w:i/>
          <w:iCs/>
        </w:rPr>
        <w:t>kompenzovat</w:t>
      </w:r>
      <w:r w:rsidR="00664EA8" w:rsidRPr="00E66EAA">
        <w:rPr>
          <w:i/>
          <w:iCs/>
        </w:rPr>
        <w:t xml:space="preserve"> další provoz elektrárny</w:t>
      </w:r>
      <w:r w:rsidRPr="00E66EAA">
        <w:rPr>
          <w:i/>
          <w:iCs/>
        </w:rPr>
        <w:t>,“</w:t>
      </w:r>
      <w:r w:rsidRPr="00E66EAA">
        <w:t xml:space="preserve"> říká </w:t>
      </w:r>
      <w:r w:rsidR="00BC5CD3" w:rsidRPr="00E66EAA">
        <w:rPr>
          <w:b/>
          <w:bCs/>
        </w:rPr>
        <w:t xml:space="preserve">předseda ERÚ </w:t>
      </w:r>
      <w:r w:rsidRPr="00E66EAA">
        <w:rPr>
          <w:b/>
          <w:bCs/>
        </w:rPr>
        <w:t>Jan Šefránek</w:t>
      </w:r>
      <w:r w:rsidRPr="00E66EAA">
        <w:t xml:space="preserve"> a dodává: </w:t>
      </w:r>
      <w:r w:rsidRPr="00E66EAA">
        <w:rPr>
          <w:i/>
          <w:iCs/>
        </w:rPr>
        <w:t>„</w:t>
      </w:r>
      <w:r w:rsidR="00BC5CD3" w:rsidRPr="00E66EAA">
        <w:rPr>
          <w:i/>
          <w:iCs/>
        </w:rPr>
        <w:t>Tento krok b</w:t>
      </w:r>
      <w:r w:rsidR="007564DA" w:rsidRPr="00E66EAA">
        <w:rPr>
          <w:i/>
          <w:iCs/>
        </w:rPr>
        <w:t xml:space="preserve">y měl </w:t>
      </w:r>
      <w:r w:rsidR="00AA4687">
        <w:rPr>
          <w:i/>
          <w:iCs/>
        </w:rPr>
        <w:t>pozitivní</w:t>
      </w:r>
      <w:r w:rsidR="00BC5CD3" w:rsidRPr="00E66EAA">
        <w:rPr>
          <w:i/>
          <w:iCs/>
        </w:rPr>
        <w:t xml:space="preserve"> dopad </w:t>
      </w:r>
      <w:r w:rsidR="007564DA" w:rsidRPr="00E66EAA">
        <w:rPr>
          <w:i/>
          <w:iCs/>
        </w:rPr>
        <w:t xml:space="preserve">i </w:t>
      </w:r>
      <w:r w:rsidR="00BC5CD3" w:rsidRPr="00E66EAA">
        <w:rPr>
          <w:i/>
          <w:iCs/>
        </w:rPr>
        <w:t xml:space="preserve">do regulovaných cen </w:t>
      </w:r>
      <w:r w:rsidR="001B7922" w:rsidRPr="00E66EAA">
        <w:rPr>
          <w:i/>
          <w:iCs/>
        </w:rPr>
        <w:t xml:space="preserve">elektřiny </w:t>
      </w:r>
      <w:r w:rsidR="00BC5CD3" w:rsidRPr="00E66EAA">
        <w:rPr>
          <w:i/>
          <w:iCs/>
        </w:rPr>
        <w:t xml:space="preserve">a </w:t>
      </w:r>
      <w:r w:rsidR="00B23CBF" w:rsidRPr="00E66EAA">
        <w:rPr>
          <w:i/>
          <w:iCs/>
        </w:rPr>
        <w:t>sníž</w:t>
      </w:r>
      <w:r w:rsidR="007564DA" w:rsidRPr="00E66EAA">
        <w:rPr>
          <w:i/>
          <w:iCs/>
        </w:rPr>
        <w:t>il by</w:t>
      </w:r>
      <w:r w:rsidR="00B23CBF" w:rsidRPr="00E66EAA">
        <w:rPr>
          <w:i/>
          <w:iCs/>
        </w:rPr>
        <w:t xml:space="preserve"> tlak </w:t>
      </w:r>
      <w:r w:rsidRPr="00E66EAA">
        <w:rPr>
          <w:i/>
          <w:iCs/>
        </w:rPr>
        <w:t xml:space="preserve">na </w:t>
      </w:r>
      <w:r w:rsidR="00BC5CD3" w:rsidRPr="00E66EAA">
        <w:rPr>
          <w:i/>
          <w:iCs/>
        </w:rPr>
        <w:t xml:space="preserve">jejich </w:t>
      </w:r>
      <w:r w:rsidRPr="00E66EAA">
        <w:rPr>
          <w:i/>
          <w:iCs/>
        </w:rPr>
        <w:t>růst. Pro příští rok hovoříme o</w:t>
      </w:r>
      <w:r w:rsidR="00E66EAA" w:rsidRPr="00E66EAA">
        <w:rPr>
          <w:i/>
          <w:iCs/>
        </w:rPr>
        <w:t> </w:t>
      </w:r>
      <w:r w:rsidRPr="00E66EAA">
        <w:rPr>
          <w:i/>
          <w:iCs/>
        </w:rPr>
        <w:t xml:space="preserve">úspoře </w:t>
      </w:r>
      <w:r w:rsidR="00664EA8" w:rsidRPr="00E66EAA">
        <w:rPr>
          <w:i/>
          <w:iCs/>
        </w:rPr>
        <w:t xml:space="preserve">převyšující miliardu korun, kterou </w:t>
      </w:r>
      <w:r w:rsidRPr="00E66EAA">
        <w:rPr>
          <w:i/>
          <w:iCs/>
        </w:rPr>
        <w:t xml:space="preserve">by jinak </w:t>
      </w:r>
      <w:r w:rsidR="00AA4687" w:rsidRPr="00E66EAA">
        <w:rPr>
          <w:i/>
          <w:iCs/>
        </w:rPr>
        <w:t xml:space="preserve">hradili </w:t>
      </w:r>
      <w:r w:rsidRPr="00E66EAA">
        <w:rPr>
          <w:i/>
          <w:iCs/>
        </w:rPr>
        <w:t>odběratelé.“</w:t>
      </w:r>
    </w:p>
    <w:p w14:paraId="4432E636" w14:textId="2BDDBA20" w:rsidR="00980B1A" w:rsidRPr="00E66EAA" w:rsidRDefault="00B1575D" w:rsidP="00B1575D">
      <w:r w:rsidRPr="00E66EAA">
        <w:t xml:space="preserve">ERÚ v tomto roce řešil také </w:t>
      </w:r>
      <w:r w:rsidR="001B7922" w:rsidRPr="00E66EAA">
        <w:t xml:space="preserve">související </w:t>
      </w:r>
      <w:r w:rsidRPr="00E66EAA">
        <w:t xml:space="preserve">hrozbu ukončení provozu v Teplárně Kladno. Ačkoliv její provoz </w:t>
      </w:r>
      <w:r w:rsidR="001B7922" w:rsidRPr="00E66EAA">
        <w:t xml:space="preserve">lednová </w:t>
      </w:r>
      <w:r w:rsidRPr="00E66EAA">
        <w:t xml:space="preserve">analýza ČEPS neoznačila za nezbytný z hlediska elektrizační soustavy, je </w:t>
      </w:r>
      <w:r w:rsidR="00BC5CD3" w:rsidRPr="00E66EAA">
        <w:t xml:space="preserve">aktuálně </w:t>
      </w:r>
      <w:r w:rsidRPr="00E66EAA">
        <w:t>Teplárna Kladno nenahraditelným zdrojem tepla pro celé město. Vydání opatření nad rámec licence pro oblast teplárenství se však podařilo</w:t>
      </w:r>
      <w:r w:rsidR="00BD7608" w:rsidRPr="00E66EAA">
        <w:t xml:space="preserve"> i</w:t>
      </w:r>
      <w:r w:rsidRPr="00E66EAA">
        <w:t xml:space="preserve"> v tomto případě předejít díky řadě jednání</w:t>
      </w:r>
      <w:r w:rsidR="00500E4B" w:rsidRPr="00E66EAA">
        <w:t xml:space="preserve"> pod mediací </w:t>
      </w:r>
      <w:r w:rsidRPr="00E66EAA">
        <w:t>ERÚ</w:t>
      </w:r>
      <w:r w:rsidR="00500E4B" w:rsidRPr="00E66EAA">
        <w:t>,</w:t>
      </w:r>
      <w:r w:rsidRPr="00E66EAA">
        <w:t xml:space="preserve"> která vyústila v dohodu mezi městem a skupinou Sev</w:t>
      </w:r>
      <w:r w:rsidR="00B23CBF" w:rsidRPr="00E66EAA">
        <w:t>.</w:t>
      </w:r>
      <w:r w:rsidRPr="00E66EAA">
        <w:t>en o dočasném pokračování provozu teplárny.</w:t>
      </w:r>
    </w:p>
    <w:sectPr w:rsidR="00980B1A" w:rsidRPr="00E66EAA" w:rsidSect="00BE2E0B">
      <w:headerReference w:type="default" r:id="rId11"/>
      <w:footerReference w:type="default" r:id="rId12"/>
      <w:pgSz w:w="11906" w:h="16838" w:code="9"/>
      <w:pgMar w:top="2268" w:right="1361" w:bottom="1531" w:left="1474" w:header="60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A2842" w14:textId="77777777" w:rsidR="005A7779" w:rsidRDefault="005A7779" w:rsidP="004A01A7">
      <w:pPr>
        <w:spacing w:after="0" w:line="240" w:lineRule="auto"/>
      </w:pPr>
      <w:r>
        <w:separator/>
      </w:r>
    </w:p>
  </w:endnote>
  <w:endnote w:type="continuationSeparator" w:id="0">
    <w:p w14:paraId="719A1BA7" w14:textId="77777777" w:rsidR="005A7779" w:rsidRDefault="005A7779" w:rsidP="004A0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51E74" w14:textId="77777777" w:rsidR="003E590B" w:rsidRDefault="003E590B" w:rsidP="003E590B">
    <w:pPr>
      <w:pStyle w:val="Zpat"/>
    </w:pPr>
    <w:r>
      <w:t>Energetický regulační úřad</w:t>
    </w:r>
  </w:p>
  <w:p w14:paraId="2A3E1B17" w14:textId="77777777" w:rsidR="003E590B" w:rsidRDefault="003E590B" w:rsidP="003E590B">
    <w:pPr>
      <w:pStyle w:val="Zpat"/>
    </w:pPr>
    <w:r>
      <w:t>tiskoví mluvčí: Michal Kebort (T: +420 724 060 790), Jan Hamrník (T: +420 724 454 791)</w:t>
    </w:r>
    <w:r>
      <w:tab/>
    </w:r>
    <w:r w:rsidRPr="008B0E87">
      <w:rPr>
        <w:spacing w:val="20"/>
      </w:rPr>
      <w:fldChar w:fldCharType="begin"/>
    </w:r>
    <w:r w:rsidRPr="008B0E87">
      <w:rPr>
        <w:spacing w:val="20"/>
      </w:rPr>
      <w:instrText>PAGE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  <w:r w:rsidRPr="008B0E87">
      <w:rPr>
        <w:spacing w:val="20"/>
      </w:rPr>
      <w:t>/</w:t>
    </w:r>
    <w:r w:rsidRPr="008B0E87">
      <w:rPr>
        <w:spacing w:val="20"/>
      </w:rPr>
      <w:fldChar w:fldCharType="begin"/>
    </w:r>
    <w:r w:rsidRPr="008B0E87">
      <w:rPr>
        <w:spacing w:val="20"/>
      </w:rPr>
      <w:instrText>NUMPAGES</w:instrText>
    </w:r>
    <w:r w:rsidRPr="008B0E87">
      <w:rPr>
        <w:spacing w:val="20"/>
      </w:rPr>
      <w:fldChar w:fldCharType="separate"/>
    </w:r>
    <w:r>
      <w:rPr>
        <w:spacing w:val="20"/>
      </w:rPr>
      <w:t>1</w:t>
    </w:r>
    <w:r w:rsidRPr="008B0E87">
      <w:rPr>
        <w:spacing w:val="20"/>
      </w:rPr>
      <w:fldChar w:fldCharType="end"/>
    </w:r>
  </w:p>
  <w:p w14:paraId="2BA1F7C1" w14:textId="77777777" w:rsidR="003E590B" w:rsidRDefault="003E590B" w:rsidP="003E590B">
    <w:pPr>
      <w:pStyle w:val="Zpat"/>
      <w:tabs>
        <w:tab w:val="left" w:pos="4440"/>
      </w:tabs>
    </w:pPr>
    <w:r w:rsidRPr="00CB5EF1">
      <w:t>Jankovcova 1566/</w:t>
    </w:r>
    <w:proofErr w:type="gramStart"/>
    <w:r w:rsidRPr="00CB5EF1">
      <w:t>2b</w:t>
    </w:r>
    <w:proofErr w:type="gramEnd"/>
    <w:r>
      <w:t>,</w:t>
    </w:r>
    <w:r w:rsidRPr="00CB5EF1">
      <w:t xml:space="preserve"> 170 00 Praha 7 – Holešovice</w:t>
    </w:r>
    <w:r>
      <w:tab/>
    </w:r>
    <w:r>
      <w:tab/>
    </w:r>
    <w:r>
      <w:tab/>
    </w:r>
  </w:p>
  <w:p w14:paraId="18C6DF55" w14:textId="2BBC7E96" w:rsidR="004A01A7" w:rsidRPr="00F21B6A" w:rsidRDefault="003E590B" w:rsidP="00F21B6A">
    <w:pPr>
      <w:pStyle w:val="Zpat"/>
    </w:pPr>
    <w:r>
      <w:t xml:space="preserve">E: </w:t>
    </w:r>
    <w:r w:rsidRPr="00CB5EF1">
      <w:t>tiskove@eru.gov.cz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7FEC6" w14:textId="77777777" w:rsidR="005A7779" w:rsidRDefault="005A7779" w:rsidP="004A01A7">
      <w:pPr>
        <w:spacing w:after="0" w:line="240" w:lineRule="auto"/>
      </w:pPr>
    </w:p>
  </w:footnote>
  <w:footnote w:type="continuationSeparator" w:id="0">
    <w:p w14:paraId="6AD11007" w14:textId="77777777" w:rsidR="005A7779" w:rsidRDefault="005A7779" w:rsidP="004A0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ulkaJVS4-bezohranien"/>
      <w:tblW w:w="4253" w:type="dxa"/>
      <w:jc w:val="right"/>
      <w:tblLayout w:type="fixed"/>
      <w:tblLook w:val="04A0" w:firstRow="1" w:lastRow="0" w:firstColumn="1" w:lastColumn="0" w:noHBand="0" w:noVBand="1"/>
    </w:tblPr>
    <w:tblGrid>
      <w:gridCol w:w="4253"/>
    </w:tblGrid>
    <w:tr w:rsidR="003208E6" w14:paraId="4B2ACB99" w14:textId="77777777" w:rsidTr="00F21B6A">
      <w:trPr>
        <w:jc w:val="right"/>
      </w:trPr>
      <w:tc>
        <w:tcPr>
          <w:tcW w:w="4253" w:type="dxa"/>
        </w:tcPr>
        <w:p w14:paraId="4EA5D6B5" w14:textId="77777777" w:rsidR="003208E6" w:rsidRDefault="00F21B6A" w:rsidP="00550B36">
          <w:pPr>
            <w:pStyle w:val="Zhlav"/>
          </w:pPr>
          <w:r>
            <w:t>Tisková zpráva</w:t>
          </w:r>
        </w:p>
      </w:tc>
    </w:tr>
  </w:tbl>
  <w:p w14:paraId="43D1915C" w14:textId="77777777" w:rsidR="004A01A7" w:rsidRDefault="00390722" w:rsidP="00550B36">
    <w:pPr>
      <w:pStyle w:val="Zhlav"/>
    </w:pPr>
    <w:r w:rsidRPr="00390722">
      <w:rPr>
        <w:noProof/>
      </w:rPr>
      <w:drawing>
        <wp:anchor distT="0" distB="0" distL="114300" distR="114300" simplePos="0" relativeHeight="251658239" behindDoc="0" locked="0" layoutInCell="1" allowOverlap="1" wp14:anchorId="706FA18B" wp14:editId="6EC085BE">
          <wp:simplePos x="0" y="0"/>
          <wp:positionH relativeFrom="page">
            <wp:posOffset>489585</wp:posOffset>
          </wp:positionH>
          <wp:positionV relativeFrom="page">
            <wp:posOffset>360045</wp:posOffset>
          </wp:positionV>
          <wp:extent cx="1299600" cy="792000"/>
          <wp:effectExtent l="0" t="0" r="0" b="8255"/>
          <wp:wrapNone/>
          <wp:docPr id="2117197115" name="Grafický 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719711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96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9117C"/>
    <w:multiLevelType w:val="multilevel"/>
    <w:tmpl w:val="3BE66384"/>
    <w:numStyleLink w:val="Stylseznamu-odrky"/>
  </w:abstractNum>
  <w:abstractNum w:abstractNumId="1" w15:restartNumberingAfterBreak="0">
    <w:nsid w:val="174263CB"/>
    <w:multiLevelType w:val="multilevel"/>
    <w:tmpl w:val="3BE66384"/>
    <w:numStyleLink w:val="Stylseznamu-odrky"/>
  </w:abstractNum>
  <w:abstractNum w:abstractNumId="2" w15:restartNumberingAfterBreak="0">
    <w:nsid w:val="17D44958"/>
    <w:multiLevelType w:val="hybridMultilevel"/>
    <w:tmpl w:val="445840E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E43046"/>
    <w:multiLevelType w:val="multilevel"/>
    <w:tmpl w:val="B87A9D68"/>
    <w:styleLink w:val="Stylseznamu-odstavceslovan"/>
    <w:lvl w:ilvl="0">
      <w:start w:val="1"/>
      <w:numFmt w:val="decimal"/>
      <w:pStyle w:val="Seznamslovan1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decimal"/>
      <w:pStyle w:val="Seznamslovan2"/>
      <w:lvlText w:val="%1.%2."/>
      <w:lvlJc w:val="left"/>
      <w:pPr>
        <w:ind w:left="964" w:hanging="567"/>
      </w:pPr>
      <w:rPr>
        <w:rFonts w:hint="default"/>
      </w:rPr>
    </w:lvl>
    <w:lvl w:ilvl="2">
      <w:start w:val="1"/>
      <w:numFmt w:val="decimal"/>
      <w:pStyle w:val="Seznamslovan3"/>
      <w:lvlText w:val="%1.%2.%3."/>
      <w:lvlJc w:val="left"/>
      <w:pPr>
        <w:ind w:left="1134" w:hanging="737"/>
      </w:pPr>
      <w:rPr>
        <w:rFonts w:hint="default"/>
      </w:rPr>
    </w:lvl>
    <w:lvl w:ilvl="3">
      <w:start w:val="1"/>
      <w:numFmt w:val="decimal"/>
      <w:pStyle w:val="Seznamslovan4"/>
      <w:lvlText w:val="%1.%2.%3.%4."/>
      <w:lvlJc w:val="left"/>
      <w:pPr>
        <w:ind w:left="1304" w:hanging="907"/>
      </w:pPr>
      <w:rPr>
        <w:rFonts w:hint="default"/>
      </w:rPr>
    </w:lvl>
    <w:lvl w:ilvl="4">
      <w:start w:val="1"/>
      <w:numFmt w:val="decimal"/>
      <w:pStyle w:val="Seznamslovan5"/>
      <w:lvlText w:val="%1.%2.%3.%4.%5."/>
      <w:lvlJc w:val="left"/>
      <w:pPr>
        <w:ind w:left="1474" w:hanging="1077"/>
      </w:pPr>
      <w:rPr>
        <w:rFonts w:hint="default"/>
      </w:rPr>
    </w:lvl>
    <w:lvl w:ilvl="5">
      <w:start w:val="1"/>
      <w:numFmt w:val="decimal"/>
      <w:pStyle w:val="Seznamslovan6"/>
      <w:lvlText w:val="%1.%2.%3.%4.%5.%6."/>
      <w:lvlJc w:val="left"/>
      <w:pPr>
        <w:ind w:left="1644" w:hanging="1247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1BCC2635"/>
    <w:multiLevelType w:val="multilevel"/>
    <w:tmpl w:val="B87A9D68"/>
    <w:numStyleLink w:val="Stylseznamu-odstavceslovan"/>
  </w:abstractNum>
  <w:abstractNum w:abstractNumId="5" w15:restartNumberingAfterBreak="0">
    <w:nsid w:val="23AA7C6F"/>
    <w:multiLevelType w:val="multilevel"/>
    <w:tmpl w:val="3BE66384"/>
    <w:numStyleLink w:val="Stylseznamu-odrky"/>
  </w:abstractNum>
  <w:abstractNum w:abstractNumId="6" w15:restartNumberingAfterBreak="0">
    <w:nsid w:val="31AD0826"/>
    <w:multiLevelType w:val="hybridMultilevel"/>
    <w:tmpl w:val="1BBEA380"/>
    <w:lvl w:ilvl="0" w:tplc="95BAADD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AA4253"/>
    <w:multiLevelType w:val="multilevel"/>
    <w:tmpl w:val="3BE66384"/>
    <w:numStyleLink w:val="Stylseznamu-odrky"/>
  </w:abstractNum>
  <w:abstractNum w:abstractNumId="8" w15:restartNumberingAfterBreak="0">
    <w:nsid w:val="507C7313"/>
    <w:multiLevelType w:val="multilevel"/>
    <w:tmpl w:val="B87A9D68"/>
    <w:numStyleLink w:val="Stylseznamu-odstavceslovan"/>
  </w:abstractNum>
  <w:abstractNum w:abstractNumId="9" w15:restartNumberingAfterBreak="0">
    <w:nsid w:val="528219F0"/>
    <w:multiLevelType w:val="multilevel"/>
    <w:tmpl w:val="599C2AC6"/>
    <w:numStyleLink w:val="Stylseznamu-nadpisyslovan"/>
  </w:abstractNum>
  <w:abstractNum w:abstractNumId="10" w15:restartNumberingAfterBreak="0">
    <w:nsid w:val="55427B69"/>
    <w:multiLevelType w:val="multilevel"/>
    <w:tmpl w:val="599C2AC6"/>
    <w:numStyleLink w:val="Stylseznamu-nadpisyslovan"/>
  </w:abstractNum>
  <w:abstractNum w:abstractNumId="11" w15:restartNumberingAfterBreak="0">
    <w:nsid w:val="56960494"/>
    <w:multiLevelType w:val="multilevel"/>
    <w:tmpl w:val="3BE66384"/>
    <w:numStyleLink w:val="Stylseznamu-odrky"/>
  </w:abstractNum>
  <w:abstractNum w:abstractNumId="12" w15:restartNumberingAfterBreak="0">
    <w:nsid w:val="57355857"/>
    <w:multiLevelType w:val="multilevel"/>
    <w:tmpl w:val="599C2AC6"/>
    <w:styleLink w:val="Stylseznamu-nadpisyslovan"/>
    <w:lvl w:ilvl="0">
      <w:start w:val="1"/>
      <w:numFmt w:val="decimal"/>
      <w:pStyle w:val="Nadpis1slovan"/>
      <w:lvlText w:val="%1."/>
      <w:lvlJc w:val="left"/>
      <w:pPr>
        <w:ind w:left="482" w:hanging="482"/>
      </w:pPr>
      <w:rPr>
        <w:rFonts w:hint="default"/>
      </w:rPr>
    </w:lvl>
    <w:lvl w:ilvl="1">
      <w:start w:val="1"/>
      <w:numFmt w:val="decimal"/>
      <w:pStyle w:val="Nadpis2slovan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Nadpis3slovan"/>
      <w:lvlText w:val="%1.%2.%3."/>
      <w:lvlJc w:val="left"/>
      <w:pPr>
        <w:ind w:left="822" w:hanging="822"/>
      </w:pPr>
      <w:rPr>
        <w:rFonts w:hint="default"/>
      </w:rPr>
    </w:lvl>
    <w:lvl w:ilvl="3">
      <w:start w:val="1"/>
      <w:numFmt w:val="decimal"/>
      <w:pStyle w:val="Nadpis4slovan"/>
      <w:lvlText w:val="%1.%2.%3.%4."/>
      <w:lvlJc w:val="left"/>
      <w:pPr>
        <w:ind w:left="936" w:hanging="936"/>
      </w:pPr>
      <w:rPr>
        <w:rFonts w:hint="default"/>
      </w:rPr>
    </w:lvl>
    <w:lvl w:ilvl="4">
      <w:start w:val="1"/>
      <w:numFmt w:val="decimal"/>
      <w:pStyle w:val="Nadpis5slovan"/>
      <w:lvlText w:val="%1.%2.%3.%4.%5."/>
      <w:lvlJc w:val="left"/>
      <w:pPr>
        <w:ind w:left="1049" w:hanging="1049"/>
      </w:pPr>
      <w:rPr>
        <w:rFonts w:hint="default"/>
      </w:rPr>
    </w:lvl>
    <w:lvl w:ilvl="5">
      <w:start w:val="1"/>
      <w:numFmt w:val="decimal"/>
      <w:pStyle w:val="Nadpis6slovan"/>
      <w:lvlText w:val="%1.%2.%3.%4.%5.%6."/>
      <w:lvlJc w:val="left"/>
      <w:pPr>
        <w:ind w:left="1162" w:hanging="1162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5A0E0C17"/>
    <w:multiLevelType w:val="multilevel"/>
    <w:tmpl w:val="599C2AC6"/>
    <w:numStyleLink w:val="Stylseznamu-nadpisyslovan"/>
  </w:abstractNum>
  <w:abstractNum w:abstractNumId="14" w15:restartNumberingAfterBreak="0">
    <w:nsid w:val="5B8C6215"/>
    <w:multiLevelType w:val="multilevel"/>
    <w:tmpl w:val="3BE66384"/>
    <w:styleLink w:val="Stylseznamu-odrky"/>
    <w:lvl w:ilvl="0">
      <w:start w:val="1"/>
      <w:numFmt w:val="bullet"/>
      <w:pStyle w:val="Odrka1"/>
      <w:lvlText w:val="■"/>
      <w:lvlJc w:val="left"/>
      <w:pPr>
        <w:ind w:left="227" w:hanging="227"/>
      </w:pPr>
      <w:rPr>
        <w:rFonts w:ascii="Arial" w:hAnsi="Arial" w:hint="default"/>
      </w:rPr>
    </w:lvl>
    <w:lvl w:ilvl="1">
      <w:start w:val="1"/>
      <w:numFmt w:val="bullet"/>
      <w:pStyle w:val="Odrka2"/>
      <w:lvlText w:val="▪"/>
      <w:lvlJc w:val="left"/>
      <w:pPr>
        <w:tabs>
          <w:tab w:val="num" w:pos="1418"/>
        </w:tabs>
        <w:ind w:left="907" w:hanging="198"/>
      </w:pPr>
      <w:rPr>
        <w:rFonts w:ascii="Arial" w:hAnsi="Arial" w:hint="default"/>
      </w:rPr>
    </w:lvl>
    <w:lvl w:ilvl="2">
      <w:start w:val="1"/>
      <w:numFmt w:val="bullet"/>
      <w:pStyle w:val="Odrka3"/>
      <w:lvlText w:val="■"/>
      <w:lvlJc w:val="left"/>
      <w:pPr>
        <w:tabs>
          <w:tab w:val="num" w:pos="2126"/>
        </w:tabs>
        <w:ind w:left="1644" w:hanging="226"/>
      </w:pPr>
      <w:rPr>
        <w:rFonts w:ascii="Arial" w:hAnsi="Arial" w:hint="default"/>
        <w:color w:val="A7A9B3" w:themeColor="background2"/>
      </w:rPr>
    </w:lvl>
    <w:lvl w:ilvl="3">
      <w:start w:val="1"/>
      <w:numFmt w:val="bullet"/>
      <w:pStyle w:val="Odrka4"/>
      <w:lvlText w:val="▪"/>
      <w:lvlJc w:val="left"/>
      <w:pPr>
        <w:tabs>
          <w:tab w:val="num" w:pos="2835"/>
        </w:tabs>
        <w:ind w:left="2325" w:hanging="199"/>
      </w:pPr>
      <w:rPr>
        <w:rFonts w:ascii="Arial" w:hAnsi="Arial" w:hint="default"/>
        <w:color w:val="A7A9B3" w:themeColor="background2"/>
      </w:rPr>
    </w:lvl>
    <w:lvl w:ilvl="4">
      <w:start w:val="1"/>
      <w:numFmt w:val="bullet"/>
      <w:pStyle w:val="Odrka5"/>
      <w:lvlText w:val="–"/>
      <w:lvlJc w:val="left"/>
      <w:pPr>
        <w:tabs>
          <w:tab w:val="num" w:pos="3544"/>
        </w:tabs>
        <w:ind w:left="3062" w:hanging="227"/>
      </w:pPr>
      <w:rPr>
        <w:rFonts w:ascii="Arial" w:hAnsi="Arial" w:hint="default"/>
        <w:color w:val="auto"/>
      </w:rPr>
    </w:lvl>
    <w:lvl w:ilvl="5">
      <w:start w:val="1"/>
      <w:numFmt w:val="bullet"/>
      <w:pStyle w:val="Odrka6"/>
      <w:lvlText w:val="·"/>
      <w:lvlJc w:val="left"/>
      <w:pPr>
        <w:ind w:left="3714" w:hanging="170"/>
      </w:pPr>
      <w:rPr>
        <w:rFonts w:ascii="Arial" w:hAnsi="Arial" w:hint="default"/>
        <w:color w:val="auto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69B93953"/>
    <w:multiLevelType w:val="multilevel"/>
    <w:tmpl w:val="599C2AC6"/>
    <w:numStyleLink w:val="Stylseznamu-nadpisyslovan"/>
  </w:abstractNum>
  <w:abstractNum w:abstractNumId="16" w15:restartNumberingAfterBreak="0">
    <w:nsid w:val="74052CCF"/>
    <w:multiLevelType w:val="multilevel"/>
    <w:tmpl w:val="3BE66384"/>
    <w:numStyleLink w:val="Stylseznamu-odrky"/>
  </w:abstractNum>
  <w:abstractNum w:abstractNumId="17" w15:restartNumberingAfterBreak="0">
    <w:nsid w:val="7B356AC3"/>
    <w:multiLevelType w:val="multilevel"/>
    <w:tmpl w:val="B87A9D68"/>
    <w:numStyleLink w:val="Stylseznamu-odstavceslovan"/>
  </w:abstractNum>
  <w:abstractNum w:abstractNumId="18" w15:restartNumberingAfterBreak="0">
    <w:nsid w:val="7B571CD1"/>
    <w:multiLevelType w:val="hybridMultilevel"/>
    <w:tmpl w:val="80C0B4C6"/>
    <w:lvl w:ilvl="0" w:tplc="126C1AA4">
      <w:start w:val="7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A64431"/>
    <w:multiLevelType w:val="multilevel"/>
    <w:tmpl w:val="3BE66384"/>
    <w:numStyleLink w:val="Stylseznamu-odrky"/>
  </w:abstractNum>
  <w:abstractNum w:abstractNumId="20" w15:restartNumberingAfterBreak="0">
    <w:nsid w:val="7F397BA4"/>
    <w:multiLevelType w:val="multilevel"/>
    <w:tmpl w:val="599C2AC6"/>
    <w:numStyleLink w:val="Stylseznamu-nadpisyslovan"/>
  </w:abstractNum>
  <w:abstractNum w:abstractNumId="21" w15:restartNumberingAfterBreak="0">
    <w:nsid w:val="7F5003B6"/>
    <w:multiLevelType w:val="hybridMultilevel"/>
    <w:tmpl w:val="38BC06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9535713">
    <w:abstractNumId w:val="21"/>
  </w:num>
  <w:num w:numId="2" w16cid:durableId="304243697">
    <w:abstractNumId w:val="12"/>
  </w:num>
  <w:num w:numId="3" w16cid:durableId="202658884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4304396">
    <w:abstractNumId w:val="9"/>
  </w:num>
  <w:num w:numId="5" w16cid:durableId="1339186929">
    <w:abstractNumId w:val="20"/>
  </w:num>
  <w:num w:numId="6" w16cid:durableId="1737124859">
    <w:abstractNumId w:val="13"/>
  </w:num>
  <w:num w:numId="7" w16cid:durableId="200482209">
    <w:abstractNumId w:val="10"/>
  </w:num>
  <w:num w:numId="8" w16cid:durableId="2111312322">
    <w:abstractNumId w:val="3"/>
  </w:num>
  <w:num w:numId="9" w16cid:durableId="28489703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6001881">
    <w:abstractNumId w:val="4"/>
  </w:num>
  <w:num w:numId="11" w16cid:durableId="627398554">
    <w:abstractNumId w:val="17"/>
  </w:num>
  <w:num w:numId="12" w16cid:durableId="1445079522">
    <w:abstractNumId w:val="14"/>
  </w:num>
  <w:num w:numId="13" w16cid:durableId="879823075">
    <w:abstractNumId w:val="1"/>
  </w:num>
  <w:num w:numId="14" w16cid:durableId="796529861">
    <w:abstractNumId w:val="19"/>
  </w:num>
  <w:num w:numId="15" w16cid:durableId="165413013">
    <w:abstractNumId w:val="16"/>
  </w:num>
  <w:num w:numId="16" w16cid:durableId="608591211">
    <w:abstractNumId w:val="0"/>
  </w:num>
  <w:num w:numId="17" w16cid:durableId="1669139136">
    <w:abstractNumId w:val="5"/>
  </w:num>
  <w:num w:numId="18" w16cid:durableId="2135248819">
    <w:abstractNumId w:val="7"/>
  </w:num>
  <w:num w:numId="19" w16cid:durableId="831679160">
    <w:abstractNumId w:val="11"/>
  </w:num>
  <w:num w:numId="20" w16cid:durableId="374815673">
    <w:abstractNumId w:val="15"/>
  </w:num>
  <w:num w:numId="21" w16cid:durableId="80033043">
    <w:abstractNumId w:val="8"/>
  </w:num>
  <w:num w:numId="22" w16cid:durableId="1809976001">
    <w:abstractNumId w:val="6"/>
  </w:num>
  <w:num w:numId="23" w16cid:durableId="1625575626">
    <w:abstractNumId w:val="18"/>
  </w:num>
  <w:num w:numId="24" w16cid:durableId="17443720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LockQFSet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29A"/>
    <w:rsid w:val="000106FE"/>
    <w:rsid w:val="000120B4"/>
    <w:rsid w:val="0002560E"/>
    <w:rsid w:val="00032CCE"/>
    <w:rsid w:val="00035F16"/>
    <w:rsid w:val="00036923"/>
    <w:rsid w:val="00043335"/>
    <w:rsid w:val="00046AAB"/>
    <w:rsid w:val="000508FC"/>
    <w:rsid w:val="00054392"/>
    <w:rsid w:val="0005510C"/>
    <w:rsid w:val="00065EC6"/>
    <w:rsid w:val="00071F0F"/>
    <w:rsid w:val="00072C40"/>
    <w:rsid w:val="00083A55"/>
    <w:rsid w:val="000849E7"/>
    <w:rsid w:val="00085436"/>
    <w:rsid w:val="00085A46"/>
    <w:rsid w:val="00091C36"/>
    <w:rsid w:val="0009494C"/>
    <w:rsid w:val="000968A9"/>
    <w:rsid w:val="000B3725"/>
    <w:rsid w:val="000B4F0B"/>
    <w:rsid w:val="000B7136"/>
    <w:rsid w:val="000C11F2"/>
    <w:rsid w:val="000C2452"/>
    <w:rsid w:val="000C67FA"/>
    <w:rsid w:val="000C68F4"/>
    <w:rsid w:val="000D2954"/>
    <w:rsid w:val="000E00C3"/>
    <w:rsid w:val="000E3099"/>
    <w:rsid w:val="000F141D"/>
    <w:rsid w:val="000F285D"/>
    <w:rsid w:val="000F4740"/>
    <w:rsid w:val="000F57EF"/>
    <w:rsid w:val="000F5A54"/>
    <w:rsid w:val="00102994"/>
    <w:rsid w:val="00112DF0"/>
    <w:rsid w:val="0011329A"/>
    <w:rsid w:val="00120B79"/>
    <w:rsid w:val="00121945"/>
    <w:rsid w:val="00124018"/>
    <w:rsid w:val="00132E55"/>
    <w:rsid w:val="00134D21"/>
    <w:rsid w:val="00134F2B"/>
    <w:rsid w:val="00135EBB"/>
    <w:rsid w:val="001363A5"/>
    <w:rsid w:val="00137B85"/>
    <w:rsid w:val="00140402"/>
    <w:rsid w:val="00141449"/>
    <w:rsid w:val="0014192E"/>
    <w:rsid w:val="00146A2A"/>
    <w:rsid w:val="0015074B"/>
    <w:rsid w:val="00160FEB"/>
    <w:rsid w:val="00164790"/>
    <w:rsid w:val="001712FE"/>
    <w:rsid w:val="00171B3E"/>
    <w:rsid w:val="00175680"/>
    <w:rsid w:val="00177C22"/>
    <w:rsid w:val="001909FA"/>
    <w:rsid w:val="0019374C"/>
    <w:rsid w:val="001B1327"/>
    <w:rsid w:val="001B168B"/>
    <w:rsid w:val="001B7922"/>
    <w:rsid w:val="001C5376"/>
    <w:rsid w:val="001C6CED"/>
    <w:rsid w:val="001D719A"/>
    <w:rsid w:val="001E1B82"/>
    <w:rsid w:val="001E417F"/>
    <w:rsid w:val="001E513B"/>
    <w:rsid w:val="001E5F8B"/>
    <w:rsid w:val="001E691A"/>
    <w:rsid w:val="001F493F"/>
    <w:rsid w:val="002000F6"/>
    <w:rsid w:val="00200C5D"/>
    <w:rsid w:val="002013B0"/>
    <w:rsid w:val="00216463"/>
    <w:rsid w:val="00222610"/>
    <w:rsid w:val="002234D1"/>
    <w:rsid w:val="00224CCB"/>
    <w:rsid w:val="00232454"/>
    <w:rsid w:val="002363CA"/>
    <w:rsid w:val="002369B6"/>
    <w:rsid w:val="00240856"/>
    <w:rsid w:val="0024676C"/>
    <w:rsid w:val="00260DCA"/>
    <w:rsid w:val="00275B42"/>
    <w:rsid w:val="00280346"/>
    <w:rsid w:val="00280D21"/>
    <w:rsid w:val="0028101B"/>
    <w:rsid w:val="002826B4"/>
    <w:rsid w:val="0029051D"/>
    <w:rsid w:val="00293F29"/>
    <w:rsid w:val="0029476C"/>
    <w:rsid w:val="00297C33"/>
    <w:rsid w:val="002A1E23"/>
    <w:rsid w:val="002B2FE6"/>
    <w:rsid w:val="002D11B9"/>
    <w:rsid w:val="002D3FAD"/>
    <w:rsid w:val="002D796B"/>
    <w:rsid w:val="002E0F6B"/>
    <w:rsid w:val="002E397F"/>
    <w:rsid w:val="002F5944"/>
    <w:rsid w:val="002F7004"/>
    <w:rsid w:val="002F7B20"/>
    <w:rsid w:val="0030061B"/>
    <w:rsid w:val="00303A0E"/>
    <w:rsid w:val="00316D81"/>
    <w:rsid w:val="003206E7"/>
    <w:rsid w:val="003208E6"/>
    <w:rsid w:val="0032285E"/>
    <w:rsid w:val="003328F0"/>
    <w:rsid w:val="0033494C"/>
    <w:rsid w:val="003351B8"/>
    <w:rsid w:val="00350B7A"/>
    <w:rsid w:val="003540FA"/>
    <w:rsid w:val="00356332"/>
    <w:rsid w:val="00363815"/>
    <w:rsid w:val="003654CD"/>
    <w:rsid w:val="003661FB"/>
    <w:rsid w:val="00370110"/>
    <w:rsid w:val="00372598"/>
    <w:rsid w:val="003859EE"/>
    <w:rsid w:val="00390722"/>
    <w:rsid w:val="00392F3A"/>
    <w:rsid w:val="00392F53"/>
    <w:rsid w:val="00393EC0"/>
    <w:rsid w:val="003A2A49"/>
    <w:rsid w:val="003A3966"/>
    <w:rsid w:val="003A5AE8"/>
    <w:rsid w:val="003A7E6A"/>
    <w:rsid w:val="003C027F"/>
    <w:rsid w:val="003C3F6A"/>
    <w:rsid w:val="003D61BC"/>
    <w:rsid w:val="003D639F"/>
    <w:rsid w:val="003E0572"/>
    <w:rsid w:val="003E3910"/>
    <w:rsid w:val="003E4A5E"/>
    <w:rsid w:val="003E4B4A"/>
    <w:rsid w:val="003E590B"/>
    <w:rsid w:val="003E6369"/>
    <w:rsid w:val="003F36C7"/>
    <w:rsid w:val="003F54C8"/>
    <w:rsid w:val="003F69B1"/>
    <w:rsid w:val="004027D2"/>
    <w:rsid w:val="0040303E"/>
    <w:rsid w:val="00407B47"/>
    <w:rsid w:val="0041042C"/>
    <w:rsid w:val="00411183"/>
    <w:rsid w:val="004136C9"/>
    <w:rsid w:val="00420F82"/>
    <w:rsid w:val="0042103B"/>
    <w:rsid w:val="00421717"/>
    <w:rsid w:val="00426C60"/>
    <w:rsid w:val="00427375"/>
    <w:rsid w:val="00430BB6"/>
    <w:rsid w:val="0043243E"/>
    <w:rsid w:val="00433E54"/>
    <w:rsid w:val="00436EC2"/>
    <w:rsid w:val="00443E05"/>
    <w:rsid w:val="00450156"/>
    <w:rsid w:val="004523EE"/>
    <w:rsid w:val="00454DC7"/>
    <w:rsid w:val="004573FA"/>
    <w:rsid w:val="004607B2"/>
    <w:rsid w:val="00463047"/>
    <w:rsid w:val="00466D27"/>
    <w:rsid w:val="0046727D"/>
    <w:rsid w:val="004723B2"/>
    <w:rsid w:val="00481A52"/>
    <w:rsid w:val="004928F9"/>
    <w:rsid w:val="00493ED9"/>
    <w:rsid w:val="00496A2A"/>
    <w:rsid w:val="004977D7"/>
    <w:rsid w:val="004A01A7"/>
    <w:rsid w:val="004A09C5"/>
    <w:rsid w:val="004A38DD"/>
    <w:rsid w:val="004B4A94"/>
    <w:rsid w:val="004C7DCA"/>
    <w:rsid w:val="004D1160"/>
    <w:rsid w:val="004D3E65"/>
    <w:rsid w:val="004E2A6F"/>
    <w:rsid w:val="004E6880"/>
    <w:rsid w:val="004E7E0E"/>
    <w:rsid w:val="004F3369"/>
    <w:rsid w:val="00500A63"/>
    <w:rsid w:val="00500E4B"/>
    <w:rsid w:val="005125F2"/>
    <w:rsid w:val="00521746"/>
    <w:rsid w:val="00534403"/>
    <w:rsid w:val="0053738F"/>
    <w:rsid w:val="00542A56"/>
    <w:rsid w:val="00542CA8"/>
    <w:rsid w:val="00544640"/>
    <w:rsid w:val="00544A49"/>
    <w:rsid w:val="00550B36"/>
    <w:rsid w:val="00553ACE"/>
    <w:rsid w:val="0055429F"/>
    <w:rsid w:val="005548CD"/>
    <w:rsid w:val="00554FC7"/>
    <w:rsid w:val="0055531A"/>
    <w:rsid w:val="00560EC8"/>
    <w:rsid w:val="00563A5F"/>
    <w:rsid w:val="00563FE8"/>
    <w:rsid w:val="0056491C"/>
    <w:rsid w:val="00564F2B"/>
    <w:rsid w:val="00565240"/>
    <w:rsid w:val="00576578"/>
    <w:rsid w:val="005801BB"/>
    <w:rsid w:val="005865A4"/>
    <w:rsid w:val="00586756"/>
    <w:rsid w:val="0058729F"/>
    <w:rsid w:val="005970F5"/>
    <w:rsid w:val="005A012C"/>
    <w:rsid w:val="005A4EC9"/>
    <w:rsid w:val="005A60C3"/>
    <w:rsid w:val="005A7779"/>
    <w:rsid w:val="005B0E06"/>
    <w:rsid w:val="005C14EB"/>
    <w:rsid w:val="005C29C9"/>
    <w:rsid w:val="005D18BE"/>
    <w:rsid w:val="005E5A16"/>
    <w:rsid w:val="005F1310"/>
    <w:rsid w:val="005F1E8B"/>
    <w:rsid w:val="00601C8A"/>
    <w:rsid w:val="00601DFE"/>
    <w:rsid w:val="006028DC"/>
    <w:rsid w:val="006051FE"/>
    <w:rsid w:val="00606CF5"/>
    <w:rsid w:val="006071BF"/>
    <w:rsid w:val="00607675"/>
    <w:rsid w:val="006120D2"/>
    <w:rsid w:val="00623A4B"/>
    <w:rsid w:val="00624962"/>
    <w:rsid w:val="00626A46"/>
    <w:rsid w:val="00626A74"/>
    <w:rsid w:val="0062750B"/>
    <w:rsid w:val="00627BC8"/>
    <w:rsid w:val="0063034C"/>
    <w:rsid w:val="00635A1C"/>
    <w:rsid w:val="006362CE"/>
    <w:rsid w:val="00637E8B"/>
    <w:rsid w:val="00640730"/>
    <w:rsid w:val="00640E73"/>
    <w:rsid w:val="0064237D"/>
    <w:rsid w:val="00647757"/>
    <w:rsid w:val="00650D3D"/>
    <w:rsid w:val="00662328"/>
    <w:rsid w:val="00664EA8"/>
    <w:rsid w:val="0067042F"/>
    <w:rsid w:val="00676BD0"/>
    <w:rsid w:val="0069386E"/>
    <w:rsid w:val="0069631F"/>
    <w:rsid w:val="006A1422"/>
    <w:rsid w:val="006A1F1C"/>
    <w:rsid w:val="006B06D8"/>
    <w:rsid w:val="006B0FD0"/>
    <w:rsid w:val="006B1EC8"/>
    <w:rsid w:val="006B27F3"/>
    <w:rsid w:val="006C0860"/>
    <w:rsid w:val="006C4E14"/>
    <w:rsid w:val="006E31F1"/>
    <w:rsid w:val="006E41B6"/>
    <w:rsid w:val="006E55FF"/>
    <w:rsid w:val="006E7273"/>
    <w:rsid w:val="006F03E5"/>
    <w:rsid w:val="006F4755"/>
    <w:rsid w:val="006F51DB"/>
    <w:rsid w:val="007005EC"/>
    <w:rsid w:val="007012B0"/>
    <w:rsid w:val="00702BED"/>
    <w:rsid w:val="007049E6"/>
    <w:rsid w:val="00713213"/>
    <w:rsid w:val="007141CA"/>
    <w:rsid w:val="0071455E"/>
    <w:rsid w:val="00716F0E"/>
    <w:rsid w:val="00724E67"/>
    <w:rsid w:val="0073040F"/>
    <w:rsid w:val="007371E0"/>
    <w:rsid w:val="00746029"/>
    <w:rsid w:val="00747B52"/>
    <w:rsid w:val="007561A1"/>
    <w:rsid w:val="007564DA"/>
    <w:rsid w:val="00765263"/>
    <w:rsid w:val="00780284"/>
    <w:rsid w:val="00782A9D"/>
    <w:rsid w:val="00787190"/>
    <w:rsid w:val="007C590D"/>
    <w:rsid w:val="007D6A0E"/>
    <w:rsid w:val="007D6BEA"/>
    <w:rsid w:val="007D6F07"/>
    <w:rsid w:val="007E6CE7"/>
    <w:rsid w:val="007E7DC0"/>
    <w:rsid w:val="007F2474"/>
    <w:rsid w:val="007F2DD8"/>
    <w:rsid w:val="007F5C93"/>
    <w:rsid w:val="008078ED"/>
    <w:rsid w:val="00810EF8"/>
    <w:rsid w:val="00811964"/>
    <w:rsid w:val="00823F16"/>
    <w:rsid w:val="00824399"/>
    <w:rsid w:val="00834A49"/>
    <w:rsid w:val="00837E45"/>
    <w:rsid w:val="0084277E"/>
    <w:rsid w:val="00851074"/>
    <w:rsid w:val="008541DA"/>
    <w:rsid w:val="008544BC"/>
    <w:rsid w:val="00870D3E"/>
    <w:rsid w:val="00874D53"/>
    <w:rsid w:val="00877CF1"/>
    <w:rsid w:val="00884306"/>
    <w:rsid w:val="008A145D"/>
    <w:rsid w:val="008A4895"/>
    <w:rsid w:val="008B0E87"/>
    <w:rsid w:val="008B1AFF"/>
    <w:rsid w:val="008C4A49"/>
    <w:rsid w:val="008D08E0"/>
    <w:rsid w:val="008D405D"/>
    <w:rsid w:val="008D5575"/>
    <w:rsid w:val="008E4CC2"/>
    <w:rsid w:val="008E7F7C"/>
    <w:rsid w:val="008F125B"/>
    <w:rsid w:val="008F533C"/>
    <w:rsid w:val="009149E6"/>
    <w:rsid w:val="0091638A"/>
    <w:rsid w:val="00916E60"/>
    <w:rsid w:val="00917C90"/>
    <w:rsid w:val="00925628"/>
    <w:rsid w:val="00931250"/>
    <w:rsid w:val="009434F6"/>
    <w:rsid w:val="00945FB9"/>
    <w:rsid w:val="009475A7"/>
    <w:rsid w:val="00951930"/>
    <w:rsid w:val="00952EAC"/>
    <w:rsid w:val="00960062"/>
    <w:rsid w:val="009610E2"/>
    <w:rsid w:val="0096469E"/>
    <w:rsid w:val="0097303D"/>
    <w:rsid w:val="00976AE1"/>
    <w:rsid w:val="00980B1A"/>
    <w:rsid w:val="00984352"/>
    <w:rsid w:val="00985819"/>
    <w:rsid w:val="00986CEC"/>
    <w:rsid w:val="00990521"/>
    <w:rsid w:val="009A278C"/>
    <w:rsid w:val="009A389D"/>
    <w:rsid w:val="009A7BDA"/>
    <w:rsid w:val="009A7C88"/>
    <w:rsid w:val="009B032C"/>
    <w:rsid w:val="009B0804"/>
    <w:rsid w:val="009C081A"/>
    <w:rsid w:val="009C0BC3"/>
    <w:rsid w:val="009C31A6"/>
    <w:rsid w:val="009D3C4B"/>
    <w:rsid w:val="009D72AA"/>
    <w:rsid w:val="009D7B19"/>
    <w:rsid w:val="009E4B81"/>
    <w:rsid w:val="009E4CF2"/>
    <w:rsid w:val="009F3E9D"/>
    <w:rsid w:val="00A0233A"/>
    <w:rsid w:val="00A15A28"/>
    <w:rsid w:val="00A22C8B"/>
    <w:rsid w:val="00A23C0F"/>
    <w:rsid w:val="00A274A1"/>
    <w:rsid w:val="00A3283F"/>
    <w:rsid w:val="00A33A5C"/>
    <w:rsid w:val="00A346E3"/>
    <w:rsid w:val="00A47859"/>
    <w:rsid w:val="00A545CC"/>
    <w:rsid w:val="00A54B8B"/>
    <w:rsid w:val="00A55A71"/>
    <w:rsid w:val="00A60C1C"/>
    <w:rsid w:val="00A851CE"/>
    <w:rsid w:val="00A91166"/>
    <w:rsid w:val="00A91452"/>
    <w:rsid w:val="00A95D0B"/>
    <w:rsid w:val="00AA0C58"/>
    <w:rsid w:val="00AA4687"/>
    <w:rsid w:val="00AB0E70"/>
    <w:rsid w:val="00AB4BE7"/>
    <w:rsid w:val="00AB5479"/>
    <w:rsid w:val="00AB7649"/>
    <w:rsid w:val="00AC0BF4"/>
    <w:rsid w:val="00AD3260"/>
    <w:rsid w:val="00AD40DD"/>
    <w:rsid w:val="00AE1317"/>
    <w:rsid w:val="00AE6440"/>
    <w:rsid w:val="00AE7B3F"/>
    <w:rsid w:val="00AF06B0"/>
    <w:rsid w:val="00AF3319"/>
    <w:rsid w:val="00AF39AC"/>
    <w:rsid w:val="00AF6E9E"/>
    <w:rsid w:val="00B0330A"/>
    <w:rsid w:val="00B07208"/>
    <w:rsid w:val="00B1335D"/>
    <w:rsid w:val="00B13A00"/>
    <w:rsid w:val="00B1575D"/>
    <w:rsid w:val="00B20370"/>
    <w:rsid w:val="00B2195A"/>
    <w:rsid w:val="00B22EBE"/>
    <w:rsid w:val="00B23CBF"/>
    <w:rsid w:val="00B25C69"/>
    <w:rsid w:val="00B31BB1"/>
    <w:rsid w:val="00B43D9B"/>
    <w:rsid w:val="00B51C8F"/>
    <w:rsid w:val="00B567FF"/>
    <w:rsid w:val="00B602D0"/>
    <w:rsid w:val="00B62344"/>
    <w:rsid w:val="00B70022"/>
    <w:rsid w:val="00B7165F"/>
    <w:rsid w:val="00B733E5"/>
    <w:rsid w:val="00B74663"/>
    <w:rsid w:val="00B759AD"/>
    <w:rsid w:val="00B84D65"/>
    <w:rsid w:val="00B8724F"/>
    <w:rsid w:val="00B90BD8"/>
    <w:rsid w:val="00B9508C"/>
    <w:rsid w:val="00B96F18"/>
    <w:rsid w:val="00BA351D"/>
    <w:rsid w:val="00BA64C3"/>
    <w:rsid w:val="00BA6934"/>
    <w:rsid w:val="00BB2466"/>
    <w:rsid w:val="00BB2B9A"/>
    <w:rsid w:val="00BB6195"/>
    <w:rsid w:val="00BB6635"/>
    <w:rsid w:val="00BC23FF"/>
    <w:rsid w:val="00BC305D"/>
    <w:rsid w:val="00BC5C99"/>
    <w:rsid w:val="00BC5CD3"/>
    <w:rsid w:val="00BD27B2"/>
    <w:rsid w:val="00BD7608"/>
    <w:rsid w:val="00BE2E0B"/>
    <w:rsid w:val="00BE3BE4"/>
    <w:rsid w:val="00BE5550"/>
    <w:rsid w:val="00BF3C1E"/>
    <w:rsid w:val="00BF48BE"/>
    <w:rsid w:val="00BF58C9"/>
    <w:rsid w:val="00C044C1"/>
    <w:rsid w:val="00C06328"/>
    <w:rsid w:val="00C12B28"/>
    <w:rsid w:val="00C15C5E"/>
    <w:rsid w:val="00C2025C"/>
    <w:rsid w:val="00C206E5"/>
    <w:rsid w:val="00C21594"/>
    <w:rsid w:val="00C23A1D"/>
    <w:rsid w:val="00C240F6"/>
    <w:rsid w:val="00C27B17"/>
    <w:rsid w:val="00C311A5"/>
    <w:rsid w:val="00C4391D"/>
    <w:rsid w:val="00C47D31"/>
    <w:rsid w:val="00C5077B"/>
    <w:rsid w:val="00C50E02"/>
    <w:rsid w:val="00C559EC"/>
    <w:rsid w:val="00C5653C"/>
    <w:rsid w:val="00C56D7F"/>
    <w:rsid w:val="00C5725B"/>
    <w:rsid w:val="00C61C26"/>
    <w:rsid w:val="00C6277D"/>
    <w:rsid w:val="00C64243"/>
    <w:rsid w:val="00C678BE"/>
    <w:rsid w:val="00C67F0A"/>
    <w:rsid w:val="00C70BC3"/>
    <w:rsid w:val="00C74A09"/>
    <w:rsid w:val="00C8478E"/>
    <w:rsid w:val="00CA3ABB"/>
    <w:rsid w:val="00CA608A"/>
    <w:rsid w:val="00CB1B52"/>
    <w:rsid w:val="00CB1E4F"/>
    <w:rsid w:val="00CB4023"/>
    <w:rsid w:val="00CB5EF1"/>
    <w:rsid w:val="00CB6B2A"/>
    <w:rsid w:val="00CC0409"/>
    <w:rsid w:val="00CC309B"/>
    <w:rsid w:val="00CC35A2"/>
    <w:rsid w:val="00CC69DA"/>
    <w:rsid w:val="00CC7927"/>
    <w:rsid w:val="00CD0856"/>
    <w:rsid w:val="00CD5CB1"/>
    <w:rsid w:val="00CD784B"/>
    <w:rsid w:val="00CE0BC6"/>
    <w:rsid w:val="00CE6AAA"/>
    <w:rsid w:val="00CF6697"/>
    <w:rsid w:val="00D066AA"/>
    <w:rsid w:val="00D15B3B"/>
    <w:rsid w:val="00D20AC3"/>
    <w:rsid w:val="00D20DCF"/>
    <w:rsid w:val="00D377B7"/>
    <w:rsid w:val="00D42D89"/>
    <w:rsid w:val="00D501E0"/>
    <w:rsid w:val="00D50FAD"/>
    <w:rsid w:val="00D63056"/>
    <w:rsid w:val="00D66CB2"/>
    <w:rsid w:val="00D676D3"/>
    <w:rsid w:val="00D70040"/>
    <w:rsid w:val="00D7143F"/>
    <w:rsid w:val="00D77B71"/>
    <w:rsid w:val="00D841DE"/>
    <w:rsid w:val="00DA10DB"/>
    <w:rsid w:val="00DA1C34"/>
    <w:rsid w:val="00DC275D"/>
    <w:rsid w:val="00DC3D08"/>
    <w:rsid w:val="00DD3A4D"/>
    <w:rsid w:val="00DD3D93"/>
    <w:rsid w:val="00DD4E3E"/>
    <w:rsid w:val="00DD6476"/>
    <w:rsid w:val="00DD6689"/>
    <w:rsid w:val="00DE4880"/>
    <w:rsid w:val="00DF05C1"/>
    <w:rsid w:val="00DF3F66"/>
    <w:rsid w:val="00E12747"/>
    <w:rsid w:val="00E14659"/>
    <w:rsid w:val="00E2441A"/>
    <w:rsid w:val="00E24FEA"/>
    <w:rsid w:val="00E26AFE"/>
    <w:rsid w:val="00E32B5D"/>
    <w:rsid w:val="00E33D56"/>
    <w:rsid w:val="00E34849"/>
    <w:rsid w:val="00E35122"/>
    <w:rsid w:val="00E414DB"/>
    <w:rsid w:val="00E456D4"/>
    <w:rsid w:val="00E46BD5"/>
    <w:rsid w:val="00E47767"/>
    <w:rsid w:val="00E51940"/>
    <w:rsid w:val="00E60B9B"/>
    <w:rsid w:val="00E62893"/>
    <w:rsid w:val="00E656AF"/>
    <w:rsid w:val="00E66EAA"/>
    <w:rsid w:val="00E67257"/>
    <w:rsid w:val="00E704CC"/>
    <w:rsid w:val="00E721D1"/>
    <w:rsid w:val="00E724D7"/>
    <w:rsid w:val="00E72CDB"/>
    <w:rsid w:val="00E8736C"/>
    <w:rsid w:val="00E9571D"/>
    <w:rsid w:val="00E97FB6"/>
    <w:rsid w:val="00EA1A03"/>
    <w:rsid w:val="00EA1CC5"/>
    <w:rsid w:val="00EA3E77"/>
    <w:rsid w:val="00EB530C"/>
    <w:rsid w:val="00EB5DA8"/>
    <w:rsid w:val="00EC2292"/>
    <w:rsid w:val="00EC58E8"/>
    <w:rsid w:val="00ED2374"/>
    <w:rsid w:val="00EE4B4B"/>
    <w:rsid w:val="00EF1981"/>
    <w:rsid w:val="00EF201A"/>
    <w:rsid w:val="00EF438D"/>
    <w:rsid w:val="00EF4611"/>
    <w:rsid w:val="00F0418D"/>
    <w:rsid w:val="00F049CC"/>
    <w:rsid w:val="00F057C8"/>
    <w:rsid w:val="00F11B08"/>
    <w:rsid w:val="00F152C4"/>
    <w:rsid w:val="00F21784"/>
    <w:rsid w:val="00F21B6A"/>
    <w:rsid w:val="00F26AB3"/>
    <w:rsid w:val="00F30796"/>
    <w:rsid w:val="00F30E1E"/>
    <w:rsid w:val="00F34410"/>
    <w:rsid w:val="00F42EF5"/>
    <w:rsid w:val="00F4744C"/>
    <w:rsid w:val="00F475D8"/>
    <w:rsid w:val="00F562EF"/>
    <w:rsid w:val="00F56817"/>
    <w:rsid w:val="00F63486"/>
    <w:rsid w:val="00F668A6"/>
    <w:rsid w:val="00F70F49"/>
    <w:rsid w:val="00F741D8"/>
    <w:rsid w:val="00F755C4"/>
    <w:rsid w:val="00F76478"/>
    <w:rsid w:val="00F76830"/>
    <w:rsid w:val="00F837DE"/>
    <w:rsid w:val="00F912EE"/>
    <w:rsid w:val="00FA0FB3"/>
    <w:rsid w:val="00FA634C"/>
    <w:rsid w:val="00FA79CC"/>
    <w:rsid w:val="00FA7B77"/>
    <w:rsid w:val="00FB11FD"/>
    <w:rsid w:val="00FB4F1B"/>
    <w:rsid w:val="00FB57B9"/>
    <w:rsid w:val="00FC186E"/>
    <w:rsid w:val="00FD5BC4"/>
    <w:rsid w:val="00FD5BEC"/>
    <w:rsid w:val="00FD5E47"/>
    <w:rsid w:val="00FD7332"/>
    <w:rsid w:val="00FE6923"/>
    <w:rsid w:val="00FE7E23"/>
    <w:rsid w:val="00FF4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BB4D2"/>
  <w15:chartTrackingRefBased/>
  <w15:docId w15:val="{C86B471E-CEE2-4B47-B323-FC658307C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lang w:val="cs-CZ" w:eastAsia="en-US" w:bidi="ar-SA"/>
        <w14:ligatures w14:val="standardContextual"/>
      </w:rPr>
    </w:rPrDefault>
    <w:pPrDefault>
      <w:pPr>
        <w:spacing w:after="16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64F2B"/>
  </w:style>
  <w:style w:type="paragraph" w:styleId="Nadpis1">
    <w:name w:val="heading 1"/>
    <w:basedOn w:val="Normln"/>
    <w:next w:val="Normln"/>
    <w:link w:val="Nadpis1Char"/>
    <w:uiPriority w:val="1"/>
    <w:qFormat/>
    <w:rsid w:val="00834A49"/>
    <w:pPr>
      <w:keepNext/>
      <w:keepLines/>
      <w:suppressAutoHyphens/>
      <w:spacing w:before="640"/>
      <w:jc w:val="left"/>
      <w:outlineLvl w:val="0"/>
    </w:pPr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1"/>
    </w:pPr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2"/>
    </w:pPr>
    <w:rPr>
      <w:rFonts w:eastAsiaTheme="majorEastAsia" w:cstheme="majorBidi"/>
      <w:b/>
      <w:bCs/>
      <w:color w:val="545860" w:themeColor="text2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3"/>
    </w:pPr>
    <w:rPr>
      <w:rFonts w:eastAsiaTheme="majorEastAsia" w:cstheme="majorBidi"/>
      <w:b/>
      <w:bCs/>
      <w:color w:val="545860" w:themeColor="text2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4"/>
    </w:pPr>
    <w:rPr>
      <w:rFonts w:eastAsiaTheme="majorEastAsia" w:cstheme="majorBidi"/>
      <w:b/>
      <w:bCs/>
      <w:color w:val="545860" w:themeColor="text2"/>
      <w:sz w:val="22"/>
      <w:szCs w:val="22"/>
    </w:rPr>
  </w:style>
  <w:style w:type="paragraph" w:styleId="Nadpis6">
    <w:name w:val="heading 6"/>
    <w:basedOn w:val="Normln"/>
    <w:next w:val="Normln"/>
    <w:link w:val="Nadpis6Char"/>
    <w:uiPriority w:val="1"/>
    <w:unhideWhenUsed/>
    <w:qFormat/>
    <w:rsid w:val="00834A49"/>
    <w:pPr>
      <w:keepNext/>
      <w:keepLines/>
      <w:suppressAutoHyphens/>
      <w:spacing w:before="320"/>
      <w:jc w:val="left"/>
      <w:outlineLvl w:val="5"/>
    </w:pPr>
    <w:rPr>
      <w:rFonts w:eastAsiaTheme="majorEastAsia" w:cstheme="majorBidi"/>
      <w:b/>
      <w:bCs/>
      <w:color w:val="545860" w:themeColor="text2"/>
    </w:rPr>
  </w:style>
  <w:style w:type="paragraph" w:styleId="Nadpis7">
    <w:name w:val="heading 7"/>
    <w:basedOn w:val="Normln"/>
    <w:next w:val="Normln"/>
    <w:link w:val="Nadpis7Char"/>
    <w:uiPriority w:val="9"/>
    <w:semiHidden/>
    <w:qFormat/>
    <w:rsid w:val="00AF6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F6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F6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1"/>
    <w:rsid w:val="00521746"/>
    <w:rPr>
      <w:rFonts w:asciiTheme="majorHAnsi" w:eastAsiaTheme="majorEastAsia" w:hAnsiTheme="majorHAnsi" w:cstheme="majorBidi"/>
      <w:b/>
      <w:bCs/>
      <w:color w:val="545860" w:themeColor="text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1"/>
    <w:rsid w:val="00521746"/>
    <w:rPr>
      <w:rFonts w:eastAsiaTheme="majorEastAsia" w:cstheme="majorBidi"/>
      <w:b/>
      <w:bCs/>
      <w:color w:val="545860" w:themeColor="text2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1"/>
    <w:rsid w:val="00521746"/>
    <w:rPr>
      <w:rFonts w:eastAsiaTheme="majorEastAsia" w:cstheme="majorBidi"/>
      <w:b/>
      <w:bCs/>
      <w:color w:val="545860" w:themeColor="text2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1"/>
    <w:rsid w:val="00521746"/>
    <w:rPr>
      <w:rFonts w:eastAsiaTheme="majorEastAsia" w:cstheme="majorBidi"/>
      <w:b/>
      <w:bCs/>
      <w:color w:val="545860" w:themeColor="text2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1"/>
    <w:rsid w:val="00521746"/>
    <w:rPr>
      <w:rFonts w:eastAsiaTheme="majorEastAsia" w:cstheme="majorBidi"/>
      <w:b/>
      <w:bCs/>
      <w:color w:val="545860" w:themeColor="text2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2174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F6E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F6E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38"/>
    <w:semiHidden/>
    <w:rsid w:val="00917C90"/>
    <w:pPr>
      <w:keepLines/>
      <w:suppressAutoHyphens/>
      <w:spacing w:after="320"/>
      <w:jc w:val="left"/>
    </w:pPr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38"/>
    <w:semiHidden/>
    <w:rsid w:val="00DD3D93"/>
    <w:rPr>
      <w:rFonts w:asciiTheme="majorHAnsi" w:eastAsiaTheme="majorEastAsia" w:hAnsiTheme="majorHAnsi" w:cstheme="majorBidi"/>
      <w:b/>
      <w:color w:val="545860" w:themeColor="text2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38"/>
    <w:semiHidden/>
    <w:rsid w:val="00917C90"/>
    <w:pPr>
      <w:keepLines/>
      <w:numPr>
        <w:ilvl w:val="1"/>
      </w:numPr>
      <w:suppressAutoHyphens/>
      <w:jc w:val="left"/>
    </w:pPr>
    <w:rPr>
      <w:rFonts w:eastAsiaTheme="majorEastAsia" w:cstheme="majorBidi"/>
      <w:color w:val="54586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38"/>
    <w:semiHidden/>
    <w:rsid w:val="00DD3D93"/>
    <w:rPr>
      <w:rFonts w:eastAsiaTheme="majorEastAsia" w:cstheme="majorBidi"/>
      <w:color w:val="545860" w:themeColor="text2"/>
      <w:sz w:val="28"/>
      <w:szCs w:val="28"/>
    </w:rPr>
  </w:style>
  <w:style w:type="paragraph" w:styleId="Citt">
    <w:name w:val="Quote"/>
    <w:basedOn w:val="Normln"/>
    <w:link w:val="CittChar"/>
    <w:uiPriority w:val="12"/>
    <w:qFormat/>
    <w:rsid w:val="00626A46"/>
    <w:pPr>
      <w:spacing w:before="320" w:after="320"/>
      <w:ind w:left="851" w:right="849"/>
    </w:pPr>
    <w:rPr>
      <w:i/>
      <w:iCs/>
    </w:rPr>
  </w:style>
  <w:style w:type="character" w:customStyle="1" w:styleId="CittChar">
    <w:name w:val="Citát Char"/>
    <w:basedOn w:val="Standardnpsmoodstavce"/>
    <w:link w:val="Citt"/>
    <w:uiPriority w:val="12"/>
    <w:rsid w:val="00521746"/>
    <w:rPr>
      <w:i/>
      <w:iCs/>
    </w:rPr>
  </w:style>
  <w:style w:type="paragraph" w:styleId="Odstavecseseznamem">
    <w:name w:val="List Paragraph"/>
    <w:basedOn w:val="Normln"/>
    <w:uiPriority w:val="34"/>
    <w:qFormat/>
    <w:rsid w:val="00AF6E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semiHidden/>
    <w:qFormat/>
    <w:rsid w:val="00917C90"/>
    <w:rPr>
      <w:b/>
      <w:i/>
      <w:iCs/>
      <w:color w:val="00459B" w:themeColor="accent1"/>
    </w:rPr>
  </w:style>
  <w:style w:type="paragraph" w:styleId="Vrazncitt">
    <w:name w:val="Intense Quote"/>
    <w:basedOn w:val="Bezmezer"/>
    <w:link w:val="VrazncittChar"/>
    <w:uiPriority w:val="30"/>
    <w:semiHidden/>
    <w:qFormat/>
    <w:rsid w:val="00917C90"/>
    <w:pPr>
      <w:pBdr>
        <w:top w:val="single" w:sz="4" w:space="10" w:color="00459B" w:themeColor="accent1"/>
        <w:bottom w:val="single" w:sz="4" w:space="10" w:color="00459B" w:themeColor="accent1"/>
      </w:pBdr>
      <w:spacing w:before="320" w:after="320"/>
      <w:ind w:left="851" w:right="851"/>
    </w:pPr>
    <w:rPr>
      <w:i/>
      <w:iCs/>
      <w:color w:val="00459B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586756"/>
    <w:rPr>
      <w:i/>
      <w:iCs/>
      <w:color w:val="00459B" w:themeColor="accent1"/>
    </w:rPr>
  </w:style>
  <w:style w:type="character" w:styleId="Odkazintenzivn">
    <w:name w:val="Intense Reference"/>
    <w:basedOn w:val="Standardnpsmoodstavce"/>
    <w:uiPriority w:val="10"/>
    <w:qFormat/>
    <w:rsid w:val="004573FA"/>
    <w:rPr>
      <w:b/>
      <w:bCs/>
      <w:caps/>
      <w:spacing w:val="5"/>
    </w:rPr>
  </w:style>
  <w:style w:type="paragraph" w:styleId="Zhlav">
    <w:name w:val="header"/>
    <w:basedOn w:val="Normln"/>
    <w:link w:val="ZhlavChar"/>
    <w:uiPriority w:val="99"/>
    <w:unhideWhenUsed/>
    <w:rsid w:val="003540FA"/>
    <w:pPr>
      <w:tabs>
        <w:tab w:val="center" w:pos="4536"/>
        <w:tab w:val="right" w:pos="9072"/>
      </w:tabs>
      <w:suppressAutoHyphens/>
      <w:spacing w:after="40" w:line="240" w:lineRule="auto"/>
      <w:jc w:val="right"/>
    </w:pPr>
    <w:rPr>
      <w:color w:val="545860" w:themeColor="accent6"/>
    </w:rPr>
  </w:style>
  <w:style w:type="character" w:customStyle="1" w:styleId="ZhlavChar">
    <w:name w:val="Záhlaví Char"/>
    <w:basedOn w:val="Standardnpsmoodstavce"/>
    <w:link w:val="Zhlav"/>
    <w:uiPriority w:val="99"/>
    <w:rsid w:val="003540FA"/>
    <w:rPr>
      <w:color w:val="545860" w:themeColor="accent6"/>
    </w:rPr>
  </w:style>
  <w:style w:type="paragraph" w:styleId="Zpat">
    <w:name w:val="footer"/>
    <w:basedOn w:val="Normln"/>
    <w:link w:val="ZpatChar"/>
    <w:uiPriority w:val="99"/>
    <w:unhideWhenUsed/>
    <w:rsid w:val="00AF06B0"/>
    <w:pPr>
      <w:tabs>
        <w:tab w:val="center" w:pos="4536"/>
        <w:tab w:val="right" w:pos="9072"/>
      </w:tabs>
      <w:spacing w:before="240" w:after="0" w:line="240" w:lineRule="auto"/>
      <w:contextualSpacing/>
    </w:pPr>
    <w:rPr>
      <w:color w:val="888B95"/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AF06B0"/>
    <w:rPr>
      <w:color w:val="888B95"/>
      <w:sz w:val="16"/>
    </w:rPr>
  </w:style>
  <w:style w:type="table" w:styleId="Mkatabulky">
    <w:name w:val="Table Grid"/>
    <w:basedOn w:val="Normlntabulka"/>
    <w:uiPriority w:val="39"/>
    <w:rsid w:val="00FA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dndaje">
    <w:name w:val="Úvodní údaje"/>
    <w:basedOn w:val="Normln"/>
    <w:uiPriority w:val="29"/>
    <w:qFormat/>
    <w:rsid w:val="00B62344"/>
    <w:pPr>
      <w:spacing w:after="0"/>
      <w:jc w:val="left"/>
    </w:pPr>
    <w:rPr>
      <w:color w:val="545860" w:themeColor="accent6"/>
    </w:rPr>
  </w:style>
  <w:style w:type="table" w:customStyle="1" w:styleId="TabulkaJVS5-navodndaje">
    <w:name w:val="Tabulka JVS 5 - na úvodní údaje"/>
    <w:basedOn w:val="Normlntabulka"/>
    <w:uiPriority w:val="99"/>
    <w:rsid w:val="00407B47"/>
    <w:pPr>
      <w:spacing w:after="0"/>
      <w:jc w:val="left"/>
    </w:pPr>
    <w:rPr>
      <w:color w:val="545860" w:themeColor="text2"/>
    </w:rPr>
    <w:tblPr>
      <w:tblCellMar>
        <w:left w:w="0" w:type="dxa"/>
        <w:right w:w="0" w:type="dxa"/>
      </w:tblCellMar>
    </w:tblPr>
  </w:style>
  <w:style w:type="character" w:styleId="Odkaznavysvtlivky">
    <w:name w:val="endnote reference"/>
    <w:basedOn w:val="Standardnpsmoodstavce"/>
    <w:uiPriority w:val="99"/>
    <w:semiHidden/>
    <w:unhideWhenUsed/>
    <w:rsid w:val="002363CA"/>
    <w:rPr>
      <w:vertAlign w:val="superscript"/>
    </w:rPr>
  </w:style>
  <w:style w:type="paragraph" w:customStyle="1" w:styleId="Ministr-funkce">
    <w:name w:val="Ministr - funkce"/>
    <w:basedOn w:val="Normln"/>
    <w:next w:val="Normln"/>
    <w:uiPriority w:val="20"/>
    <w:qFormat/>
    <w:rsid w:val="008F533C"/>
    <w:pPr>
      <w:spacing w:after="600"/>
      <w:contextualSpacing/>
      <w:jc w:val="left"/>
    </w:pPr>
    <w:rPr>
      <w:color w:val="545860" w:themeColor="accent6"/>
      <w:sz w:val="24"/>
      <w:szCs w:val="24"/>
    </w:rPr>
  </w:style>
  <w:style w:type="paragraph" w:customStyle="1" w:styleId="Ministr-jmno">
    <w:name w:val="Ministr - jméno"/>
    <w:basedOn w:val="Normln"/>
    <w:next w:val="Ministr-funkce"/>
    <w:uiPriority w:val="19"/>
    <w:qFormat/>
    <w:rsid w:val="008F533C"/>
    <w:pPr>
      <w:spacing w:before="600" w:after="0"/>
      <w:contextualSpacing/>
      <w:jc w:val="left"/>
    </w:pPr>
    <w:rPr>
      <w:b/>
      <w:bCs/>
      <w:color w:val="545860" w:themeColor="accent6"/>
      <w:sz w:val="28"/>
      <w:szCs w:val="28"/>
    </w:rPr>
  </w:style>
  <w:style w:type="character" w:styleId="Siln">
    <w:name w:val="Strong"/>
    <w:basedOn w:val="Standardnpsmoodstavce"/>
    <w:uiPriority w:val="6"/>
    <w:qFormat/>
    <w:rsid w:val="004573FA"/>
    <w:rPr>
      <w:b/>
      <w:bCs/>
    </w:rPr>
  </w:style>
  <w:style w:type="character" w:styleId="Odkazjemn">
    <w:name w:val="Subtle Reference"/>
    <w:basedOn w:val="Standardnpsmoodstavce"/>
    <w:uiPriority w:val="9"/>
    <w:qFormat/>
    <w:rsid w:val="004573FA"/>
    <w:rPr>
      <w:caps/>
    </w:rPr>
  </w:style>
  <w:style w:type="character" w:styleId="Hypertextovodkaz">
    <w:name w:val="Hyperlink"/>
    <w:basedOn w:val="Standardnpsmoodstavce"/>
    <w:uiPriority w:val="99"/>
    <w:unhideWhenUsed/>
    <w:rsid w:val="004573FA"/>
    <w:rPr>
      <w:color w:val="00459B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73FA"/>
    <w:rPr>
      <w:color w:val="605E5C"/>
      <w:shd w:val="clear" w:color="auto" w:fill="E1DFDD"/>
    </w:rPr>
  </w:style>
  <w:style w:type="character" w:styleId="Nzevknihy">
    <w:name w:val="Book Title"/>
    <w:basedOn w:val="Standardnpsmoodstavce"/>
    <w:uiPriority w:val="11"/>
    <w:qFormat/>
    <w:rsid w:val="004573FA"/>
    <w:rPr>
      <w:b/>
      <w:bCs/>
      <w:i/>
      <w:iCs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106FE"/>
    <w:pPr>
      <w:spacing w:after="40" w:line="240" w:lineRule="auto"/>
      <w:jc w:val="left"/>
    </w:pPr>
    <w:rPr>
      <w:sz w:val="16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106FE"/>
    <w:rPr>
      <w:sz w:val="16"/>
    </w:rPr>
  </w:style>
  <w:style w:type="character" w:styleId="Znakapoznpodarou">
    <w:name w:val="footnote reference"/>
    <w:basedOn w:val="Standardnpsmoodstavce"/>
    <w:uiPriority w:val="99"/>
    <w:semiHidden/>
    <w:unhideWhenUsed/>
    <w:rsid w:val="00D066AA"/>
    <w:rPr>
      <w:vertAlign w:val="superscript"/>
    </w:rPr>
  </w:style>
  <w:style w:type="character" w:styleId="Zdraznn">
    <w:name w:val="Emphasis"/>
    <w:basedOn w:val="Standardnpsmoodstavce"/>
    <w:uiPriority w:val="5"/>
    <w:qFormat/>
    <w:rsid w:val="00164790"/>
    <w:rPr>
      <w:i w:val="0"/>
      <w:iCs/>
      <w:u w:val="single"/>
    </w:rPr>
  </w:style>
  <w:style w:type="character" w:styleId="Zdraznnjemn">
    <w:name w:val="Subtle Emphasis"/>
    <w:basedOn w:val="Standardnpsmoodstavce"/>
    <w:uiPriority w:val="5"/>
    <w:qFormat/>
    <w:rsid w:val="00164790"/>
    <w:rPr>
      <w:i/>
      <w:iCs/>
    </w:rPr>
  </w:style>
  <w:style w:type="table" w:customStyle="1" w:styleId="TabulkaJVS1-ed">
    <w:name w:val="Tabulka JVS 1 - šed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393B41"/>
        <w:left w:val="single" w:sz="4" w:space="0" w:color="393B41"/>
        <w:bottom w:val="single" w:sz="4" w:space="0" w:color="393B41"/>
        <w:right w:val="single" w:sz="4" w:space="0" w:color="393B41"/>
        <w:insideH w:val="single" w:sz="4" w:space="0" w:color="393B41"/>
        <w:insideV w:val="single" w:sz="4" w:space="0" w:color="393B41"/>
      </w:tblBorders>
      <w:tblCellMar>
        <w:top w:w="57" w:type="dxa"/>
        <w:bottom w:w="57" w:type="dxa"/>
      </w:tblCellMar>
    </w:tblPr>
    <w:tblStylePr w:type="firstRow">
      <w:rPr>
        <w:b w:val="0"/>
        <w:i w:val="0"/>
        <w:color w:val="FFFFFF" w:themeColor="background1"/>
      </w:rPr>
      <w:tblPr/>
      <w:tcPr>
        <w:tcBorders>
          <w:top w:val="single" w:sz="4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  <w:shd w:val="clear" w:color="auto" w:fill="393B41"/>
      </w:tcPr>
    </w:tblStylePr>
    <w:tblStylePr w:type="lastRow">
      <w:tblPr/>
      <w:tcPr>
        <w:tcBorders>
          <w:top w:val="single" w:sz="12" w:space="0" w:color="393B41"/>
          <w:left w:val="single" w:sz="4" w:space="0" w:color="393B41"/>
          <w:bottom w:val="single" w:sz="4" w:space="0" w:color="393B41"/>
          <w:right w:val="single" w:sz="4" w:space="0" w:color="393B41"/>
          <w:insideH w:val="single" w:sz="4" w:space="0" w:color="393B41"/>
          <w:insideV w:val="single" w:sz="4" w:space="0" w:color="393B41"/>
          <w:tl2br w:val="nil"/>
          <w:tr2bl w:val="nil"/>
        </w:tcBorders>
      </w:tcPr>
    </w:tblStylePr>
  </w:style>
  <w:style w:type="table" w:customStyle="1" w:styleId="TabulkaJVS2-modr">
    <w:name w:val="Tabulka JVS 2 - modr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00459B" w:themeColor="accent1"/>
        <w:left w:val="single" w:sz="4" w:space="0" w:color="00459B" w:themeColor="accent1"/>
        <w:bottom w:val="single" w:sz="4" w:space="0" w:color="00459B" w:themeColor="accent1"/>
        <w:right w:val="single" w:sz="4" w:space="0" w:color="00459B" w:themeColor="accent1"/>
        <w:insideH w:val="single" w:sz="4" w:space="0" w:color="00459B" w:themeColor="accent1"/>
        <w:insideV w:val="single" w:sz="4" w:space="0" w:color="00459B" w:themeColor="accent1"/>
      </w:tblBorders>
      <w:tblCellMar>
        <w:top w:w="57" w:type="dxa"/>
        <w:bottom w:w="57" w:type="dxa"/>
      </w:tblCellMar>
    </w:tblPr>
    <w:tblStylePr w:type="firstRow">
      <w:tblPr/>
      <w:tcPr>
        <w:tcBorders>
          <w:top w:val="single" w:sz="4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single" w:sz="4" w:space="0" w:color="00459B" w:themeColor="accent1"/>
          <w:insideV w:val="single" w:sz="4" w:space="0" w:color="00459B" w:themeColor="accent1"/>
          <w:tl2br w:val="nil"/>
          <w:tr2bl w:val="nil"/>
        </w:tcBorders>
        <w:shd w:val="clear" w:color="auto" w:fill="00459B" w:themeFill="accent1"/>
      </w:tcPr>
    </w:tblStylePr>
    <w:tblStylePr w:type="lastRow">
      <w:tblPr/>
      <w:tcPr>
        <w:tcBorders>
          <w:top w:val="single" w:sz="12" w:space="0" w:color="00459B" w:themeColor="accent1"/>
          <w:left w:val="single" w:sz="4" w:space="0" w:color="00459B" w:themeColor="accent1"/>
          <w:bottom w:val="single" w:sz="4" w:space="0" w:color="00459B" w:themeColor="accent1"/>
          <w:right w:val="single" w:sz="4" w:space="0" w:color="00459B" w:themeColor="accent1"/>
          <w:insideH w:val="nil"/>
          <w:insideV w:val="single" w:sz="4" w:space="0" w:color="00459B" w:themeColor="accent1"/>
          <w:tl2br w:val="nil"/>
          <w:tr2bl w:val="nil"/>
        </w:tcBorders>
      </w:tcPr>
    </w:tblStylePr>
  </w:style>
  <w:style w:type="table" w:customStyle="1" w:styleId="TabulkaJVS3-bl">
    <w:name w:val="Tabulka JVS 3 - bílá"/>
    <w:basedOn w:val="Normlntabulka"/>
    <w:uiPriority w:val="99"/>
    <w:rsid w:val="0084277E"/>
    <w:pPr>
      <w:spacing w:after="0"/>
      <w:jc w:val="left"/>
    </w:pPr>
    <w:tblPr>
      <w:tblBorders>
        <w:top w:val="single" w:sz="4" w:space="0" w:color="A7A9B3" w:themeColor="background2"/>
        <w:left w:val="single" w:sz="4" w:space="0" w:color="A7A9B3" w:themeColor="background2"/>
        <w:bottom w:val="single" w:sz="4" w:space="0" w:color="A7A9B3" w:themeColor="background2"/>
        <w:right w:val="single" w:sz="4" w:space="0" w:color="A7A9B3" w:themeColor="background2"/>
        <w:insideH w:val="single" w:sz="4" w:space="0" w:color="A7A9B3" w:themeColor="background2"/>
        <w:insideV w:val="single" w:sz="4" w:space="0" w:color="A7A9B3" w:themeColor="background2"/>
      </w:tblBorders>
      <w:tblCellMar>
        <w:top w:w="57" w:type="dxa"/>
        <w:bottom w:w="57" w:type="dxa"/>
      </w:tblCellMar>
    </w:tblPr>
    <w:tblStylePr w:type="lastRow">
      <w:tblPr/>
      <w:tcPr>
        <w:tcBorders>
          <w:top w:val="single" w:sz="12" w:space="0" w:color="A7A9B3" w:themeColor="background2"/>
          <w:left w:val="single" w:sz="4" w:space="0" w:color="A7A9B3" w:themeColor="background2"/>
          <w:bottom w:val="single" w:sz="4" w:space="0" w:color="A7A9B3" w:themeColor="background2"/>
          <w:right w:val="single" w:sz="4" w:space="0" w:color="A7A9B3" w:themeColor="background2"/>
          <w:insideH w:val="nil"/>
          <w:insideV w:val="single" w:sz="4" w:space="0" w:color="A7A9B3" w:themeColor="background2"/>
          <w:tl2br w:val="nil"/>
          <w:tr2bl w:val="nil"/>
        </w:tcBorders>
      </w:tcPr>
    </w:tblStylePr>
  </w:style>
  <w:style w:type="table" w:customStyle="1" w:styleId="TabulkaJVS4-bezohranien">
    <w:name w:val="Tabulka JVS 4 - bez ohraničení"/>
    <w:basedOn w:val="Normlntabulka"/>
    <w:uiPriority w:val="99"/>
    <w:rsid w:val="005C29C9"/>
    <w:pPr>
      <w:jc w:val="left"/>
    </w:pPr>
    <w:tblPr>
      <w:tblCellMar>
        <w:left w:w="0" w:type="dxa"/>
        <w:right w:w="0" w:type="dxa"/>
      </w:tblCellMar>
    </w:tblPr>
  </w:style>
  <w:style w:type="table" w:styleId="Svtltabulkasmkou1zvraznn1">
    <w:name w:val="Grid Table 1 Light Accent 1"/>
    <w:basedOn w:val="Normlntabulka"/>
    <w:uiPriority w:val="46"/>
    <w:rsid w:val="00F562EF"/>
    <w:pPr>
      <w:spacing w:after="0" w:line="240" w:lineRule="auto"/>
    </w:pPr>
    <w:tblPr>
      <w:tblStyleRowBandSize w:val="1"/>
      <w:tblStyleColBandSize w:val="1"/>
      <w:tblBorders>
        <w:top w:val="single" w:sz="4" w:space="0" w:color="71AFFF" w:themeColor="accent1" w:themeTint="66"/>
        <w:left w:val="single" w:sz="4" w:space="0" w:color="71AFFF" w:themeColor="accent1" w:themeTint="66"/>
        <w:bottom w:val="single" w:sz="4" w:space="0" w:color="71AFFF" w:themeColor="accent1" w:themeTint="66"/>
        <w:right w:val="single" w:sz="4" w:space="0" w:color="71AFFF" w:themeColor="accent1" w:themeTint="66"/>
        <w:insideH w:val="single" w:sz="4" w:space="0" w:color="71AFFF" w:themeColor="accent1" w:themeTint="66"/>
        <w:insideV w:val="single" w:sz="4" w:space="0" w:color="71A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2A88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2A88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adpis1slovan">
    <w:name w:val="Nadpis 1 číslovaný"/>
    <w:basedOn w:val="Seznamslovan5"/>
    <w:next w:val="Normln"/>
    <w:uiPriority w:val="3"/>
    <w:qFormat/>
    <w:rsid w:val="00542CA8"/>
    <w:pPr>
      <w:keepNext/>
      <w:keepLines/>
      <w:numPr>
        <w:ilvl w:val="0"/>
        <w:numId w:val="20"/>
      </w:numPr>
      <w:suppressAutoHyphens/>
      <w:spacing w:before="640"/>
      <w:jc w:val="left"/>
    </w:pPr>
    <w:rPr>
      <w:b/>
      <w:color w:val="545860" w:themeColor="text2"/>
      <w:sz w:val="40"/>
    </w:rPr>
  </w:style>
  <w:style w:type="paragraph" w:customStyle="1" w:styleId="Nadpis2slovan">
    <w:name w:val="Nadpis 2 číslovaný"/>
    <w:basedOn w:val="Normln"/>
    <w:next w:val="Normln"/>
    <w:uiPriority w:val="3"/>
    <w:qFormat/>
    <w:rsid w:val="00542CA8"/>
    <w:pPr>
      <w:numPr>
        <w:ilvl w:val="1"/>
        <w:numId w:val="20"/>
      </w:numPr>
      <w:suppressAutoHyphens/>
      <w:spacing w:before="320"/>
      <w:jc w:val="left"/>
    </w:pPr>
    <w:rPr>
      <w:b/>
      <w:color w:val="545860" w:themeColor="text2"/>
      <w:sz w:val="32"/>
    </w:rPr>
  </w:style>
  <w:style w:type="paragraph" w:customStyle="1" w:styleId="Nadpis3slovan">
    <w:name w:val="Nadpis 3 číslovaný"/>
    <w:basedOn w:val="Normln"/>
    <w:next w:val="Normln"/>
    <w:uiPriority w:val="3"/>
    <w:qFormat/>
    <w:rsid w:val="00542CA8"/>
    <w:pPr>
      <w:keepNext/>
      <w:keepLines/>
      <w:numPr>
        <w:ilvl w:val="2"/>
        <w:numId w:val="20"/>
      </w:numPr>
      <w:suppressAutoHyphens/>
      <w:spacing w:before="320"/>
      <w:jc w:val="left"/>
    </w:pPr>
    <w:rPr>
      <w:b/>
      <w:color w:val="545860" w:themeColor="text2"/>
      <w:sz w:val="28"/>
    </w:rPr>
  </w:style>
  <w:style w:type="paragraph" w:customStyle="1" w:styleId="Nadpis4slovan">
    <w:name w:val="Nadpis 4 číslovaný"/>
    <w:basedOn w:val="Normln"/>
    <w:next w:val="Normln"/>
    <w:uiPriority w:val="3"/>
    <w:qFormat/>
    <w:rsid w:val="00542CA8"/>
    <w:pPr>
      <w:keepNext/>
      <w:keepLines/>
      <w:numPr>
        <w:ilvl w:val="3"/>
        <w:numId w:val="20"/>
      </w:numPr>
      <w:suppressAutoHyphens/>
      <w:spacing w:before="320"/>
      <w:jc w:val="left"/>
    </w:pPr>
    <w:rPr>
      <w:b/>
      <w:color w:val="545860" w:themeColor="text2"/>
      <w:sz w:val="24"/>
    </w:rPr>
  </w:style>
  <w:style w:type="paragraph" w:customStyle="1" w:styleId="Nadpis5slovan">
    <w:name w:val="Nadpis 5 číslovaný"/>
    <w:basedOn w:val="Normln"/>
    <w:next w:val="Normln"/>
    <w:uiPriority w:val="3"/>
    <w:qFormat/>
    <w:rsid w:val="00542CA8"/>
    <w:pPr>
      <w:keepNext/>
      <w:keepLines/>
      <w:numPr>
        <w:ilvl w:val="4"/>
        <w:numId w:val="20"/>
      </w:numPr>
      <w:suppressAutoHyphens/>
      <w:spacing w:before="320"/>
      <w:jc w:val="left"/>
    </w:pPr>
    <w:rPr>
      <w:b/>
      <w:color w:val="545860" w:themeColor="text2"/>
      <w:sz w:val="22"/>
    </w:rPr>
  </w:style>
  <w:style w:type="paragraph" w:customStyle="1" w:styleId="Nadpis6slovan">
    <w:name w:val="Nadpis 6 číslovaný"/>
    <w:basedOn w:val="Normln"/>
    <w:next w:val="Normln"/>
    <w:uiPriority w:val="3"/>
    <w:qFormat/>
    <w:rsid w:val="00542CA8"/>
    <w:pPr>
      <w:keepNext/>
      <w:keepLines/>
      <w:numPr>
        <w:ilvl w:val="5"/>
        <w:numId w:val="20"/>
      </w:numPr>
      <w:suppressAutoHyphens/>
      <w:spacing w:before="320"/>
      <w:jc w:val="left"/>
    </w:pPr>
    <w:rPr>
      <w:b/>
      <w:color w:val="545860" w:themeColor="text2"/>
    </w:rPr>
  </w:style>
  <w:style w:type="numbering" w:customStyle="1" w:styleId="Stylseznamu-nadpisyslovan">
    <w:name w:val="Styl seznamu - nadpisy číslované"/>
    <w:uiPriority w:val="99"/>
    <w:rsid w:val="00C61C26"/>
    <w:pPr>
      <w:numPr>
        <w:numId w:val="2"/>
      </w:numPr>
    </w:pPr>
  </w:style>
  <w:style w:type="paragraph" w:styleId="Nadpisobsahu">
    <w:name w:val="TOC Heading"/>
    <w:basedOn w:val="Nadpis1"/>
    <w:next w:val="Normln"/>
    <w:uiPriority w:val="39"/>
    <w:unhideWhenUsed/>
    <w:rsid w:val="00CA3ABB"/>
    <w:pPr>
      <w:outlineLvl w:val="9"/>
    </w:pPr>
  </w:style>
  <w:style w:type="paragraph" w:styleId="Obsah1">
    <w:name w:val="toc 1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</w:pPr>
    <w:rPr>
      <w:b/>
      <w:noProof/>
    </w:rPr>
  </w:style>
  <w:style w:type="paragraph" w:styleId="Obsah2">
    <w:name w:val="toc 2"/>
    <w:basedOn w:val="Normln"/>
    <w:next w:val="Normln"/>
    <w:uiPriority w:val="39"/>
    <w:unhideWhenUsed/>
    <w:rsid w:val="00A55A71"/>
    <w:pPr>
      <w:tabs>
        <w:tab w:val="right" w:leader="dot" w:pos="9061"/>
      </w:tabs>
      <w:spacing w:after="100"/>
      <w:ind w:left="284"/>
    </w:pPr>
  </w:style>
  <w:style w:type="paragraph" w:styleId="Obsah3">
    <w:name w:val="toc 3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567"/>
    </w:pPr>
  </w:style>
  <w:style w:type="paragraph" w:styleId="Obsah4">
    <w:name w:val="toc 4"/>
    <w:basedOn w:val="Normln"/>
    <w:next w:val="Normln"/>
    <w:uiPriority w:val="39"/>
    <w:unhideWhenUsed/>
    <w:rsid w:val="00CD0856"/>
    <w:pPr>
      <w:tabs>
        <w:tab w:val="right" w:leader="dot" w:pos="9061"/>
      </w:tabs>
      <w:spacing w:after="100"/>
      <w:ind w:left="851"/>
    </w:pPr>
  </w:style>
  <w:style w:type="paragraph" w:customStyle="1" w:styleId="Seznamslovan1">
    <w:name w:val="Seznam číslovaný 1"/>
    <w:basedOn w:val="Normln"/>
    <w:uiPriority w:val="1"/>
    <w:qFormat/>
    <w:rsid w:val="00E721D1"/>
    <w:pPr>
      <w:numPr>
        <w:numId w:val="21"/>
      </w:numPr>
    </w:pPr>
  </w:style>
  <w:style w:type="paragraph" w:customStyle="1" w:styleId="Seznamslovan2">
    <w:name w:val="Seznam číslovaný 2"/>
    <w:basedOn w:val="Normln"/>
    <w:uiPriority w:val="1"/>
    <w:qFormat/>
    <w:rsid w:val="00E721D1"/>
    <w:pPr>
      <w:numPr>
        <w:ilvl w:val="1"/>
        <w:numId w:val="21"/>
      </w:numPr>
    </w:pPr>
  </w:style>
  <w:style w:type="paragraph" w:customStyle="1" w:styleId="Seznamslovan3">
    <w:name w:val="Seznam číslovaný 3"/>
    <w:basedOn w:val="Normln"/>
    <w:uiPriority w:val="1"/>
    <w:qFormat/>
    <w:rsid w:val="00E721D1"/>
    <w:pPr>
      <w:numPr>
        <w:ilvl w:val="2"/>
        <w:numId w:val="21"/>
      </w:numPr>
    </w:pPr>
  </w:style>
  <w:style w:type="paragraph" w:customStyle="1" w:styleId="Seznamslovan4">
    <w:name w:val="Seznam číslovaný 4"/>
    <w:basedOn w:val="Normln"/>
    <w:uiPriority w:val="1"/>
    <w:qFormat/>
    <w:rsid w:val="00E721D1"/>
    <w:pPr>
      <w:numPr>
        <w:ilvl w:val="3"/>
        <w:numId w:val="21"/>
      </w:numPr>
    </w:pPr>
  </w:style>
  <w:style w:type="paragraph" w:customStyle="1" w:styleId="Seznamslovan5">
    <w:name w:val="Seznam číslovaný 5"/>
    <w:basedOn w:val="Normln"/>
    <w:uiPriority w:val="1"/>
    <w:qFormat/>
    <w:rsid w:val="00E721D1"/>
    <w:pPr>
      <w:numPr>
        <w:ilvl w:val="4"/>
        <w:numId w:val="21"/>
      </w:numPr>
    </w:pPr>
  </w:style>
  <w:style w:type="paragraph" w:customStyle="1" w:styleId="Seznamslovan6">
    <w:name w:val="Seznam číslovaný 6"/>
    <w:basedOn w:val="Normln"/>
    <w:uiPriority w:val="1"/>
    <w:qFormat/>
    <w:rsid w:val="00E721D1"/>
    <w:pPr>
      <w:numPr>
        <w:ilvl w:val="5"/>
        <w:numId w:val="21"/>
      </w:numPr>
    </w:pPr>
  </w:style>
  <w:style w:type="numbering" w:customStyle="1" w:styleId="Stylseznamu-odstavceslovan">
    <w:name w:val="Styl seznamu - odstavce číslované"/>
    <w:uiPriority w:val="99"/>
    <w:rsid w:val="00E721D1"/>
    <w:pPr>
      <w:numPr>
        <w:numId w:val="8"/>
      </w:numPr>
    </w:pPr>
  </w:style>
  <w:style w:type="paragraph" w:customStyle="1" w:styleId="Perex">
    <w:name w:val="Perex"/>
    <w:basedOn w:val="Normln"/>
    <w:next w:val="Normln"/>
    <w:uiPriority w:val="21"/>
    <w:qFormat/>
    <w:rsid w:val="00B62344"/>
    <w:pPr>
      <w:spacing w:after="360"/>
    </w:pPr>
    <w:rPr>
      <w:b/>
      <w:color w:val="545860" w:themeColor="accent6"/>
    </w:rPr>
  </w:style>
  <w:style w:type="paragraph" w:customStyle="1" w:styleId="Odrka1">
    <w:name w:val="Odrážka 1"/>
    <w:basedOn w:val="Normln"/>
    <w:uiPriority w:val="2"/>
    <w:qFormat/>
    <w:rsid w:val="002D796B"/>
    <w:pPr>
      <w:numPr>
        <w:numId w:val="19"/>
      </w:numPr>
    </w:pPr>
  </w:style>
  <w:style w:type="paragraph" w:customStyle="1" w:styleId="Odrka2">
    <w:name w:val="Odrážka 2"/>
    <w:basedOn w:val="Normln"/>
    <w:uiPriority w:val="2"/>
    <w:qFormat/>
    <w:rsid w:val="002D796B"/>
    <w:pPr>
      <w:numPr>
        <w:ilvl w:val="1"/>
        <w:numId w:val="19"/>
      </w:numPr>
      <w:tabs>
        <w:tab w:val="clear" w:pos="1418"/>
      </w:tabs>
    </w:pPr>
  </w:style>
  <w:style w:type="paragraph" w:customStyle="1" w:styleId="Odrka3">
    <w:name w:val="Odrážka 3"/>
    <w:basedOn w:val="Normln"/>
    <w:uiPriority w:val="2"/>
    <w:qFormat/>
    <w:rsid w:val="002D796B"/>
    <w:pPr>
      <w:numPr>
        <w:ilvl w:val="2"/>
        <w:numId w:val="19"/>
      </w:numPr>
      <w:tabs>
        <w:tab w:val="clear" w:pos="2126"/>
      </w:tabs>
      <w:ind w:left="1645" w:hanging="227"/>
    </w:pPr>
  </w:style>
  <w:style w:type="paragraph" w:customStyle="1" w:styleId="Odrka4">
    <w:name w:val="Odrážka 4"/>
    <w:basedOn w:val="Normln"/>
    <w:uiPriority w:val="2"/>
    <w:qFormat/>
    <w:rsid w:val="002D796B"/>
    <w:pPr>
      <w:numPr>
        <w:ilvl w:val="3"/>
        <w:numId w:val="19"/>
      </w:numPr>
      <w:tabs>
        <w:tab w:val="clear" w:pos="2835"/>
      </w:tabs>
      <w:ind w:left="2324" w:hanging="198"/>
    </w:pPr>
  </w:style>
  <w:style w:type="paragraph" w:customStyle="1" w:styleId="Odrka5">
    <w:name w:val="Odrážka 5"/>
    <w:basedOn w:val="Normln"/>
    <w:uiPriority w:val="2"/>
    <w:qFormat/>
    <w:rsid w:val="002D796B"/>
    <w:pPr>
      <w:numPr>
        <w:ilvl w:val="4"/>
        <w:numId w:val="19"/>
      </w:numPr>
      <w:tabs>
        <w:tab w:val="clear" w:pos="3544"/>
      </w:tabs>
    </w:pPr>
  </w:style>
  <w:style w:type="paragraph" w:customStyle="1" w:styleId="Odrka6">
    <w:name w:val="Odrážka 6"/>
    <w:basedOn w:val="Normln"/>
    <w:uiPriority w:val="2"/>
    <w:qFormat/>
    <w:rsid w:val="002D796B"/>
    <w:pPr>
      <w:numPr>
        <w:ilvl w:val="5"/>
        <w:numId w:val="19"/>
      </w:numPr>
    </w:pPr>
  </w:style>
  <w:style w:type="numbering" w:customStyle="1" w:styleId="Stylseznamu-odrky">
    <w:name w:val="Styl seznamu - odrážky"/>
    <w:uiPriority w:val="99"/>
    <w:rsid w:val="008D5575"/>
    <w:pPr>
      <w:numPr>
        <w:numId w:val="12"/>
      </w:numPr>
    </w:pPr>
  </w:style>
  <w:style w:type="paragraph" w:customStyle="1" w:styleId="Popisekfotografie">
    <w:name w:val="Popisek fotografie"/>
    <w:basedOn w:val="Normln"/>
    <w:next w:val="Normln"/>
    <w:uiPriority w:val="25"/>
    <w:qFormat/>
    <w:rsid w:val="004E7E0E"/>
    <w:pPr>
      <w:spacing w:before="160" w:after="240"/>
    </w:pPr>
    <w:rPr>
      <w:sz w:val="16"/>
    </w:rPr>
  </w:style>
  <w:style w:type="paragraph" w:styleId="Titulek">
    <w:name w:val="caption"/>
    <w:basedOn w:val="Normln"/>
    <w:next w:val="Normln"/>
    <w:uiPriority w:val="35"/>
    <w:unhideWhenUsed/>
    <w:rsid w:val="00032CCE"/>
    <w:pPr>
      <w:spacing w:before="160" w:after="240"/>
    </w:pPr>
    <w:rPr>
      <w:iCs/>
      <w:sz w:val="16"/>
      <w:szCs w:val="18"/>
    </w:rPr>
  </w:style>
  <w:style w:type="paragraph" w:styleId="Obsah5">
    <w:name w:val="toc 5"/>
    <w:basedOn w:val="Normln"/>
    <w:next w:val="Normln"/>
    <w:uiPriority w:val="39"/>
    <w:unhideWhenUsed/>
    <w:rsid w:val="001E513B"/>
    <w:pPr>
      <w:tabs>
        <w:tab w:val="right" w:leader="dot" w:pos="9061"/>
      </w:tabs>
      <w:spacing w:before="240" w:after="120"/>
      <w:ind w:left="284" w:hanging="284"/>
    </w:pPr>
    <w:rPr>
      <w:b/>
    </w:rPr>
  </w:style>
  <w:style w:type="paragraph" w:styleId="Obsah6">
    <w:name w:val="toc 6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738" w:hanging="454"/>
    </w:pPr>
    <w:rPr>
      <w:noProof/>
    </w:rPr>
  </w:style>
  <w:style w:type="paragraph" w:styleId="Obsah7">
    <w:name w:val="toc 7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908" w:hanging="624"/>
    </w:pPr>
    <w:rPr>
      <w:noProof/>
    </w:rPr>
  </w:style>
  <w:style w:type="paragraph" w:styleId="Obsah8">
    <w:name w:val="toc 8"/>
    <w:basedOn w:val="Normln"/>
    <w:next w:val="Normln"/>
    <w:uiPriority w:val="39"/>
    <w:unhideWhenUsed/>
    <w:rsid w:val="003C027F"/>
    <w:pPr>
      <w:tabs>
        <w:tab w:val="right" w:leader="dot" w:pos="9061"/>
      </w:tabs>
      <w:spacing w:after="100"/>
      <w:ind w:left="1106" w:hanging="822"/>
    </w:pPr>
    <w:rPr>
      <w:noProof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0106FE"/>
    <w:pPr>
      <w:spacing w:after="40" w:line="240" w:lineRule="auto"/>
    </w:pPr>
    <w:rPr>
      <w:sz w:val="16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0106FE"/>
    <w:rPr>
      <w:sz w:val="16"/>
    </w:rPr>
  </w:style>
  <w:style w:type="character" w:styleId="Zstupntext">
    <w:name w:val="Placeholder Text"/>
    <w:basedOn w:val="Standardnpsmoodstavce"/>
    <w:uiPriority w:val="99"/>
    <w:semiHidden/>
    <w:rsid w:val="00F152C4"/>
    <w:rPr>
      <w:color w:val="666666"/>
    </w:rPr>
  </w:style>
  <w:style w:type="table" w:styleId="Svtlmkatabulky">
    <w:name w:val="Grid Table Light"/>
    <w:basedOn w:val="Normlntabulka"/>
    <w:uiPriority w:val="40"/>
    <w:rsid w:val="000C67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Bezmezer">
    <w:name w:val="No Spacing"/>
    <w:uiPriority w:val="1"/>
    <w:semiHidden/>
    <w:qFormat/>
    <w:rsid w:val="00586756"/>
    <w:pPr>
      <w:spacing w:after="0" w:line="240" w:lineRule="auto"/>
    </w:pPr>
  </w:style>
  <w:style w:type="paragraph" w:styleId="Revize">
    <w:name w:val="Revision"/>
    <w:hidden/>
    <w:uiPriority w:val="99"/>
    <w:semiHidden/>
    <w:rsid w:val="00B20370"/>
    <w:pPr>
      <w:spacing w:after="0" w:line="240" w:lineRule="auto"/>
      <w:jc w:val="left"/>
    </w:pPr>
  </w:style>
  <w:style w:type="character" w:styleId="Odkaznakoment">
    <w:name w:val="annotation reference"/>
    <w:basedOn w:val="Standardnpsmoodstavce"/>
    <w:uiPriority w:val="99"/>
    <w:semiHidden/>
    <w:unhideWhenUsed/>
    <w:rsid w:val="00F7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F7683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F76830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7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76830"/>
    <w:rPr>
      <w:b/>
      <w:bCs/>
    </w:rPr>
  </w:style>
  <w:style w:type="character" w:styleId="Sledovanodkaz">
    <w:name w:val="FollowedHyperlink"/>
    <w:basedOn w:val="Standardnpsmoodstavce"/>
    <w:uiPriority w:val="99"/>
    <w:semiHidden/>
    <w:unhideWhenUsed/>
    <w:rsid w:val="0011329A"/>
    <w:rPr>
      <w:color w:val="00459B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rnik\AppData\Local\Microsoft\Windows\INetCache\Content.Outlook\DS304QN5\TZ_202604XY_ceny_energii_smlouvy.dotx" TargetMode="External"/></Relationships>
</file>

<file path=word/theme/theme1.xml><?xml version="1.0" encoding="utf-8"?>
<a:theme xmlns:a="http://schemas.openxmlformats.org/drawingml/2006/main" name="Motiv Office">
  <a:themeElements>
    <a:clrScheme name="JVS šedé nadpisy">
      <a:dk1>
        <a:sysClr val="windowText" lastClr="000000"/>
      </a:dk1>
      <a:lt1>
        <a:sysClr val="window" lastClr="FFFFFF"/>
      </a:lt1>
      <a:dk2>
        <a:srgbClr val="545860"/>
      </a:dk2>
      <a:lt2>
        <a:srgbClr val="A7A9B3"/>
      </a:lt2>
      <a:accent1>
        <a:srgbClr val="00459B"/>
      </a:accent1>
      <a:accent2>
        <a:srgbClr val="D70C0F"/>
      </a:accent2>
      <a:accent3>
        <a:srgbClr val="F7C1B9"/>
      </a:accent3>
      <a:accent4>
        <a:srgbClr val="690527"/>
      </a:accent4>
      <a:accent5>
        <a:srgbClr val="9DC8E9"/>
      </a:accent5>
      <a:accent6>
        <a:srgbClr val="545860"/>
      </a:accent6>
      <a:hlink>
        <a:srgbClr val="00459B"/>
      </a:hlink>
      <a:folHlink>
        <a:srgbClr val="0045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D03939D3D2D924A8EB78DD153A2815A" ma:contentTypeVersion="3" ma:contentTypeDescription="Vytvoří nový dokument" ma:contentTypeScope="" ma:versionID="26bff35535500339fad91c028a951fd5">
  <xsd:schema xmlns:xsd="http://www.w3.org/2001/XMLSchema" xmlns:xs="http://www.w3.org/2001/XMLSchema" xmlns:p="http://schemas.microsoft.com/office/2006/metadata/properties" xmlns:ns3="363cedc1-6b53-46ef-aca8-1eb97fc9a330" targetNamespace="http://schemas.microsoft.com/office/2006/metadata/properties" ma:root="true" ma:fieldsID="aabfc16ea3bb2a5aa6d3b1bbec5a5350" ns3:_="">
    <xsd:import namespace="363cedc1-6b53-46ef-aca8-1eb97fc9a33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3cedc1-6b53-46ef-aca8-1eb97fc9a3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83F5D11-DFB9-42B2-80F4-B05463828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3cedc1-6b53-46ef-aca8-1eb97fc9a3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6B3613-DEE2-4474-941D-A6A1A0B369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1CB690-FF5C-4B21-B984-0828F6D3508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5AF04DA-697A-4599-ABCE-314B044F3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TZ_202604XY_ceny_energii_smlouvy.dotx</Template>
  <TotalTime>21</TotalTime>
  <Pages>1</Pages>
  <Words>438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Hamrník</dc:creator>
  <cp:keywords/>
  <dc:description/>
  <cp:lastModifiedBy>Kebort Michal Bc.</cp:lastModifiedBy>
  <cp:revision>2</cp:revision>
  <dcterms:created xsi:type="dcterms:W3CDTF">2026-10-20T08:14:00Z</dcterms:created>
  <dcterms:modified xsi:type="dcterms:W3CDTF">2026-10-20T08:14:00Z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0x010100CD03939D3D2D924A8EB78DD153A2815A</vt:lpwstr>
  </property>
</Properties>
</file>