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42F" w14:textId="1DE20658" w:rsidR="00F21B6A" w:rsidRDefault="00831511" w:rsidP="00F21B6A">
      <w:pPr>
        <w:pStyle w:val="Nadpis1"/>
      </w:pPr>
      <w:r>
        <w:t>Mimořádné šetření ERÚ:</w:t>
      </w:r>
      <w:r>
        <w:br/>
        <w:t xml:space="preserve">Spotřebitelé se </w:t>
      </w:r>
      <w:r w:rsidR="37768F20">
        <w:t xml:space="preserve">o stabilitu svých dodávek </w:t>
      </w:r>
      <w:r>
        <w:t>obávat nemusí</w:t>
      </w:r>
    </w:p>
    <w:p w14:paraId="063ED789" w14:textId="7E15CB2F" w:rsidR="00F21B6A" w:rsidRDefault="00745974" w:rsidP="0011329A">
      <w:pPr>
        <w:shd w:val="clear" w:color="auto" w:fill="FFFFFF" w:themeFill="background1"/>
      </w:pPr>
      <w:r>
        <w:t>29</w:t>
      </w:r>
      <w:r w:rsidR="007E6CE7" w:rsidRPr="004E6880">
        <w:t>.</w:t>
      </w:r>
      <w:r w:rsidR="007E6CE7" w:rsidRPr="0011329A">
        <w:t xml:space="preserve"> </w:t>
      </w:r>
      <w:r w:rsidR="00112DF0">
        <w:t>5.</w:t>
      </w:r>
      <w:r w:rsidR="007E6CE7" w:rsidRPr="0011329A">
        <w:t xml:space="preserve"> 2026</w:t>
      </w:r>
    </w:p>
    <w:p w14:paraId="6AD01793" w14:textId="158C24D6" w:rsidR="00906D58" w:rsidRPr="005C12CB" w:rsidRDefault="00831511" w:rsidP="00906D58">
      <w:pPr>
        <w:pStyle w:val="Perex"/>
        <w:rPr>
          <w:i/>
          <w:iCs/>
        </w:rPr>
      </w:pPr>
      <w:r w:rsidRPr="005C12CB">
        <w:rPr>
          <w:i/>
          <w:iCs/>
        </w:rPr>
        <w:t>Vzhledem k situaci na velkoobchodních trzích</w:t>
      </w:r>
      <w:r w:rsidR="00FA5A76" w:rsidRPr="005C12CB">
        <w:rPr>
          <w:i/>
          <w:iCs/>
        </w:rPr>
        <w:t xml:space="preserve"> s energiemi</w:t>
      </w:r>
      <w:r w:rsidRPr="005C12CB">
        <w:rPr>
          <w:i/>
          <w:iCs/>
        </w:rPr>
        <w:t>, kter</w:t>
      </w:r>
      <w:r w:rsidR="00BD3B66" w:rsidRPr="005C12CB">
        <w:rPr>
          <w:i/>
          <w:iCs/>
        </w:rPr>
        <w:t>ou</w:t>
      </w:r>
      <w:r w:rsidRPr="005C12CB">
        <w:rPr>
          <w:i/>
          <w:iCs/>
        </w:rPr>
        <w:t xml:space="preserve"> ovlivňuje</w:t>
      </w:r>
      <w:r w:rsidR="00BD3B66" w:rsidRPr="005C12CB">
        <w:rPr>
          <w:i/>
          <w:iCs/>
        </w:rPr>
        <w:t xml:space="preserve"> aktuální geopolitický vývoj</w:t>
      </w:r>
      <w:r w:rsidRPr="005C12CB">
        <w:rPr>
          <w:i/>
          <w:iCs/>
        </w:rPr>
        <w:t>,</w:t>
      </w:r>
      <w:r w:rsidR="00B40FAD" w:rsidRPr="005C12CB">
        <w:rPr>
          <w:i/>
          <w:iCs/>
        </w:rPr>
        <w:t xml:space="preserve"> provedl Energetický regulační úřad (ERÚ) mimořádné šetření</w:t>
      </w:r>
      <w:r w:rsidR="0C099120" w:rsidRPr="005C12CB">
        <w:rPr>
          <w:i/>
          <w:iCs/>
        </w:rPr>
        <w:t xml:space="preserve">. </w:t>
      </w:r>
      <w:r w:rsidR="00FA5A76" w:rsidRPr="005C12CB">
        <w:rPr>
          <w:i/>
          <w:iCs/>
        </w:rPr>
        <w:t xml:space="preserve">Cílem bylo ověřit dostatečné </w:t>
      </w:r>
      <w:r w:rsidRPr="005C12CB">
        <w:rPr>
          <w:i/>
          <w:iCs/>
        </w:rPr>
        <w:t xml:space="preserve">zajištění </w:t>
      </w:r>
      <w:r w:rsidR="00BD3B66" w:rsidRPr="005C12CB">
        <w:rPr>
          <w:i/>
          <w:iCs/>
        </w:rPr>
        <w:t xml:space="preserve">tuzemských dodavatelů. Všichni </w:t>
      </w:r>
      <w:r w:rsidR="00FA5A76" w:rsidRPr="005C12CB">
        <w:rPr>
          <w:i/>
          <w:iCs/>
        </w:rPr>
        <w:t xml:space="preserve">významní </w:t>
      </w:r>
      <w:r w:rsidRPr="005C12CB" w:rsidDel="00BD3B66">
        <w:rPr>
          <w:i/>
          <w:iCs/>
        </w:rPr>
        <w:t>dodavatelé</w:t>
      </w:r>
      <w:r w:rsidR="00BD3B66" w:rsidRPr="005C12CB">
        <w:rPr>
          <w:i/>
          <w:iCs/>
        </w:rPr>
        <w:t xml:space="preserve"> prokázali, že pro své zákazníky mají nakoupený dostatek energií dopředu</w:t>
      </w:r>
      <w:r w:rsidR="00BE010B" w:rsidRPr="005C12CB">
        <w:rPr>
          <w:i/>
          <w:iCs/>
        </w:rPr>
        <w:t>.</w:t>
      </w:r>
    </w:p>
    <w:p w14:paraId="5200499A" w14:textId="3C6DF218" w:rsidR="00BD3B66" w:rsidRDefault="00FA5A76" w:rsidP="00906D58">
      <w:r>
        <w:t xml:space="preserve">Po cenové krizi z roku 2021 </w:t>
      </w:r>
      <w:r w:rsidR="002D395A">
        <w:t xml:space="preserve">došlo k úpravě energetického zákona, podle které </w:t>
      </w:r>
      <w:r>
        <w:t>mají d</w:t>
      </w:r>
      <w:r w:rsidR="00BD3B66">
        <w:t xml:space="preserve">odavatelé povinnost dvakrát ročně zveřejňovat tzv. index zajištění, </w:t>
      </w:r>
      <w:r>
        <w:t xml:space="preserve">který ERÚ pravidelně monitoruje. Nad rámec této povinnosti </w:t>
      </w:r>
      <w:r w:rsidR="00BD3B66">
        <w:t xml:space="preserve">provedl ERÚ podrobné šetření zaměřené na všechny </w:t>
      </w:r>
      <w:r>
        <w:t xml:space="preserve">významné </w:t>
      </w:r>
      <w:r w:rsidR="00BD3B66">
        <w:t>dodavatele. Rozdíl spočív</w:t>
      </w:r>
      <w:r w:rsidR="00BE010B">
        <w:t>al</w:t>
      </w:r>
      <w:r w:rsidR="00BD3B66">
        <w:t xml:space="preserve"> především v tom, že </w:t>
      </w:r>
      <w:r>
        <w:t>zákon</w:t>
      </w:r>
      <w:r w:rsidR="000B1E3A">
        <w:t>em</w:t>
      </w:r>
      <w:r>
        <w:t xml:space="preserve"> </w:t>
      </w:r>
      <w:r w:rsidR="000B1E3A">
        <w:t xml:space="preserve">požadovaný </w:t>
      </w:r>
      <w:r w:rsidR="00BD3B66">
        <w:t xml:space="preserve">index zajištění sleduje pouze </w:t>
      </w:r>
      <w:r w:rsidR="008C1257">
        <w:t xml:space="preserve">zabezpečení </w:t>
      </w:r>
      <w:r w:rsidR="00BD3B66">
        <w:t>dodáv</w:t>
      </w:r>
      <w:r w:rsidR="008C1257">
        <w:t>e</w:t>
      </w:r>
      <w:r w:rsidR="00BD3B66">
        <w:t xml:space="preserve">k pro </w:t>
      </w:r>
      <w:r w:rsidR="768A9474">
        <w:t>domácnosti a malé podniky</w:t>
      </w:r>
      <w:r w:rsidR="008C1257">
        <w:t xml:space="preserve">. Mimořádný monitoring </w:t>
      </w:r>
      <w:r>
        <w:t xml:space="preserve">ERÚ </w:t>
      </w:r>
      <w:r w:rsidR="00C80E51">
        <w:t xml:space="preserve">navíc mimo jiné </w:t>
      </w:r>
      <w:r w:rsidR="008C1257">
        <w:t xml:space="preserve">zjišťoval, zda mají dodavatelé energie </w:t>
      </w:r>
      <w:r>
        <w:t>zajištěné</w:t>
      </w:r>
      <w:r w:rsidR="008C1257">
        <w:t xml:space="preserve"> také pro velké odběratele.</w:t>
      </w:r>
    </w:p>
    <w:p w14:paraId="4608450D" w14:textId="0D8BC58C" w:rsidR="008C1257" w:rsidRDefault="008C1257" w:rsidP="00906D58">
      <w:r w:rsidRPr="66F6E2FF">
        <w:rPr>
          <w:i/>
          <w:iCs/>
        </w:rPr>
        <w:t xml:space="preserve">„Cílem </w:t>
      </w:r>
      <w:r w:rsidR="00FA5A76">
        <w:rPr>
          <w:i/>
          <w:iCs/>
        </w:rPr>
        <w:t xml:space="preserve">našeho mimořádného </w:t>
      </w:r>
      <w:r w:rsidRPr="66F6E2FF">
        <w:rPr>
          <w:i/>
          <w:iCs/>
        </w:rPr>
        <w:t>šetření bylo ověřit, nakolik jsou tuzemští dodavatelé odolní vůči nečekanému cenovému vývoji na velkoobchodních trzích</w:t>
      </w:r>
      <w:r w:rsidR="00FA5A76">
        <w:rPr>
          <w:i/>
          <w:iCs/>
        </w:rPr>
        <w:t>, aby se neopakoval</w:t>
      </w:r>
      <w:r w:rsidR="00C80E51">
        <w:rPr>
          <w:i/>
          <w:iCs/>
        </w:rPr>
        <w:t>a</w:t>
      </w:r>
      <w:r w:rsidR="00FA5A76">
        <w:rPr>
          <w:i/>
          <w:iCs/>
        </w:rPr>
        <w:t xml:space="preserve"> </w:t>
      </w:r>
      <w:r w:rsidR="000B1E3A">
        <w:rPr>
          <w:i/>
          <w:iCs/>
        </w:rPr>
        <w:t xml:space="preserve">situace </w:t>
      </w:r>
      <w:r w:rsidR="00FA5A76">
        <w:rPr>
          <w:i/>
          <w:iCs/>
        </w:rPr>
        <w:t>z minulosti</w:t>
      </w:r>
      <w:r w:rsidRPr="66F6E2FF">
        <w:rPr>
          <w:i/>
          <w:iCs/>
        </w:rPr>
        <w:t xml:space="preserve">. Výsledky jsou jednoznačné. </w:t>
      </w:r>
      <w:r w:rsidR="00FA5A76">
        <w:rPr>
          <w:i/>
          <w:iCs/>
        </w:rPr>
        <w:t>Všichni významní</w:t>
      </w:r>
      <w:r w:rsidR="00D85575" w:rsidRPr="66F6E2FF">
        <w:rPr>
          <w:i/>
          <w:iCs/>
        </w:rPr>
        <w:t xml:space="preserve"> </w:t>
      </w:r>
      <w:r w:rsidRPr="66F6E2FF">
        <w:rPr>
          <w:i/>
          <w:iCs/>
        </w:rPr>
        <w:t>dodavatel</w:t>
      </w:r>
      <w:r w:rsidR="00FA5A76">
        <w:rPr>
          <w:i/>
          <w:iCs/>
        </w:rPr>
        <w:t>é</w:t>
      </w:r>
      <w:r w:rsidRPr="66F6E2FF">
        <w:rPr>
          <w:i/>
          <w:iCs/>
        </w:rPr>
        <w:t xml:space="preserve">, kteří </w:t>
      </w:r>
      <w:r w:rsidR="00D85575" w:rsidRPr="66F6E2FF">
        <w:rPr>
          <w:i/>
          <w:iCs/>
        </w:rPr>
        <w:t>dohromady pokrývají naprostou většinu českého trhu</w:t>
      </w:r>
      <w:r w:rsidRPr="66F6E2FF">
        <w:rPr>
          <w:i/>
          <w:iCs/>
        </w:rPr>
        <w:t xml:space="preserve">, </w:t>
      </w:r>
      <w:r w:rsidR="00CC3FF7" w:rsidRPr="66F6E2FF">
        <w:rPr>
          <w:i/>
          <w:iCs/>
        </w:rPr>
        <w:t>mají zajištěný dostatek energií pro všechny své zákazníky</w:t>
      </w:r>
      <w:r w:rsidR="00745974">
        <w:rPr>
          <w:i/>
          <w:iCs/>
        </w:rPr>
        <w:t>,</w:t>
      </w:r>
      <w:r w:rsidR="00CC3FF7" w:rsidRPr="66F6E2FF">
        <w:rPr>
          <w:i/>
          <w:iCs/>
        </w:rPr>
        <w:t xml:space="preserve"> </w:t>
      </w:r>
      <w:r w:rsidR="00B25510">
        <w:rPr>
          <w:i/>
          <w:iCs/>
        </w:rPr>
        <w:t>a stabilita dodávek tak nyní není ohrožena</w:t>
      </w:r>
      <w:r w:rsidR="00CC3FF7" w:rsidRPr="66F6E2FF">
        <w:rPr>
          <w:i/>
          <w:iCs/>
        </w:rPr>
        <w:t>,“</w:t>
      </w:r>
      <w:r w:rsidR="00CC3FF7">
        <w:t xml:space="preserve"> říká </w:t>
      </w:r>
      <w:r w:rsidR="00CC3FF7" w:rsidRPr="00A43988">
        <w:rPr>
          <w:b/>
          <w:bCs/>
        </w:rPr>
        <w:t>předseda ERÚ Jan Šefránek</w:t>
      </w:r>
      <w:r w:rsidR="00CC3FF7" w:rsidRPr="00F5504D">
        <w:t xml:space="preserve"> </w:t>
      </w:r>
      <w:r w:rsidR="00C80E51" w:rsidRPr="00F5504D">
        <w:t>a dodává</w:t>
      </w:r>
      <w:r w:rsidR="00745974" w:rsidRPr="00F5504D">
        <w:t>:</w:t>
      </w:r>
      <w:r w:rsidR="00C80E51">
        <w:rPr>
          <w:b/>
          <w:bCs/>
        </w:rPr>
        <w:t xml:space="preserve"> </w:t>
      </w:r>
      <w:r w:rsidR="00745974">
        <w:rPr>
          <w:i/>
          <w:iCs/>
        </w:rPr>
        <w:t>„T</w:t>
      </w:r>
      <w:r w:rsidR="00C80E51" w:rsidRPr="66F6E2FF">
        <w:rPr>
          <w:i/>
          <w:iCs/>
        </w:rPr>
        <w:t>rh je v tomto ohledu určitě stabilnější</w:t>
      </w:r>
      <w:r w:rsidR="000B1E3A">
        <w:rPr>
          <w:i/>
          <w:iCs/>
        </w:rPr>
        <w:t>, než tomu bylo v roce 2021</w:t>
      </w:r>
      <w:r w:rsidR="00C80E51" w:rsidRPr="66F6E2FF">
        <w:rPr>
          <w:i/>
          <w:iCs/>
        </w:rPr>
        <w:t>. Dílčí problémy samozřejmě nemůžeme nikdy vyloučit. Rozhodně by se však neměl</w:t>
      </w:r>
      <w:r w:rsidR="000B1E3A">
        <w:rPr>
          <w:i/>
          <w:iCs/>
        </w:rPr>
        <w:t>a</w:t>
      </w:r>
      <w:r w:rsidR="00C80E51" w:rsidRPr="66F6E2FF">
        <w:rPr>
          <w:i/>
          <w:iCs/>
        </w:rPr>
        <w:t xml:space="preserve"> opakovat</w:t>
      </w:r>
      <w:r w:rsidR="000B1E3A">
        <w:rPr>
          <w:i/>
          <w:iCs/>
        </w:rPr>
        <w:t xml:space="preserve"> situace</w:t>
      </w:r>
      <w:r w:rsidR="00C80E51" w:rsidRPr="66F6E2FF">
        <w:rPr>
          <w:i/>
          <w:iCs/>
        </w:rPr>
        <w:t>, kdy své zákazníky k dodavatelům poslední instance poslal</w:t>
      </w:r>
      <w:r w:rsidR="00C80E51">
        <w:rPr>
          <w:i/>
          <w:iCs/>
        </w:rPr>
        <w:t>a</w:t>
      </w:r>
      <w:r w:rsidR="00C80E51" w:rsidRPr="66F6E2FF">
        <w:rPr>
          <w:i/>
          <w:iCs/>
        </w:rPr>
        <w:t xml:space="preserve"> </w:t>
      </w:r>
      <w:r w:rsidR="00C80E51">
        <w:rPr>
          <w:i/>
          <w:iCs/>
        </w:rPr>
        <w:t>řada obchodníků</w:t>
      </w:r>
      <w:r w:rsidR="00377C5B">
        <w:rPr>
          <w:i/>
          <w:iCs/>
        </w:rPr>
        <w:t>.</w:t>
      </w:r>
      <w:r w:rsidR="00C80E51" w:rsidRPr="66F6E2FF">
        <w:rPr>
          <w:i/>
          <w:iCs/>
        </w:rPr>
        <w:t>“</w:t>
      </w:r>
    </w:p>
    <w:p w14:paraId="61DCD801" w14:textId="4C608F00" w:rsidR="00CC3FF7" w:rsidRDefault="00CC3FF7" w:rsidP="00CC3FF7">
      <w:r>
        <w:t xml:space="preserve">Mimořádné šetření se oproti </w:t>
      </w:r>
      <w:r w:rsidR="00D85575">
        <w:t>běžnému</w:t>
      </w:r>
      <w:r>
        <w:t xml:space="preserve"> indexu zajištění, </w:t>
      </w:r>
      <w:r w:rsidR="00D85575">
        <w:t>který řeší zajištění dodáv</w:t>
      </w:r>
      <w:r w:rsidR="000B1E3A">
        <w:t>e</w:t>
      </w:r>
      <w:r w:rsidR="00D85575">
        <w:t xml:space="preserve">k v tříletém horizontu, </w:t>
      </w:r>
      <w:r>
        <w:t xml:space="preserve">soustředilo na kratší, šestiměsíční </w:t>
      </w:r>
      <w:r w:rsidR="00D85575">
        <w:t>období, tedy na zajištění dodávek do konce října tohoto roku. P</w:t>
      </w:r>
      <w:r>
        <w:t xml:space="preserve">rávě </w:t>
      </w:r>
      <w:r w:rsidR="00D85575">
        <w:t xml:space="preserve">kratších burzovních </w:t>
      </w:r>
      <w:r>
        <w:t xml:space="preserve">nákupů se </w:t>
      </w:r>
      <w:r w:rsidR="00D85575">
        <w:t xml:space="preserve">totiž </w:t>
      </w:r>
      <w:r>
        <w:t>nejvíce dotkla aktuální geopolitická nestabilita.</w:t>
      </w:r>
    </w:p>
    <w:p w14:paraId="5507A9DF" w14:textId="43FF7BEC" w:rsidR="00E330ED" w:rsidRPr="00071D80" w:rsidRDefault="00E330ED" w:rsidP="00CC3FF7">
      <w:r w:rsidRPr="66F6E2FF">
        <w:rPr>
          <w:i/>
          <w:iCs/>
        </w:rPr>
        <w:t>„U největších dodavatelů se navíc potvrdilo očekávání, že elektřinu a plyn nakupují</w:t>
      </w:r>
      <w:r w:rsidR="00745974">
        <w:rPr>
          <w:i/>
          <w:iCs/>
        </w:rPr>
        <w:t xml:space="preserve"> dopředu</w:t>
      </w:r>
      <w:r w:rsidRPr="66F6E2FF">
        <w:rPr>
          <w:i/>
          <w:iCs/>
        </w:rPr>
        <w:t xml:space="preserve"> </w:t>
      </w:r>
      <w:r w:rsidR="00B25510">
        <w:rPr>
          <w:i/>
          <w:iCs/>
        </w:rPr>
        <w:t xml:space="preserve">nejen pro zákazníky s fixovanými produkty, ale také </w:t>
      </w:r>
      <w:r w:rsidRPr="66F6E2FF">
        <w:rPr>
          <w:i/>
          <w:iCs/>
        </w:rPr>
        <w:t>z velké části pro odběratele bez fixace.</w:t>
      </w:r>
      <w:r w:rsidR="00071D80" w:rsidRPr="66F6E2FF">
        <w:rPr>
          <w:i/>
          <w:iCs/>
        </w:rPr>
        <w:t xml:space="preserve"> </w:t>
      </w:r>
      <w:r w:rsidR="24592379" w:rsidRPr="4C24AFFD">
        <w:rPr>
          <w:i/>
          <w:iCs/>
        </w:rPr>
        <w:t xml:space="preserve">U plynu </w:t>
      </w:r>
      <w:r w:rsidR="177AE52B" w:rsidRPr="4C24AFFD">
        <w:rPr>
          <w:i/>
          <w:iCs/>
        </w:rPr>
        <w:t>je vyšší podíl zajištění způsobený také</w:t>
      </w:r>
      <w:r w:rsidR="00071D80" w:rsidRPr="66F6E2FF">
        <w:rPr>
          <w:i/>
          <w:iCs/>
        </w:rPr>
        <w:t xml:space="preserve"> </w:t>
      </w:r>
      <w:r w:rsidR="24592379" w:rsidRPr="4C24AFFD">
        <w:rPr>
          <w:i/>
          <w:iCs/>
        </w:rPr>
        <w:t>načasování</w:t>
      </w:r>
      <w:r w:rsidR="1C892C81" w:rsidRPr="4C24AFFD">
        <w:rPr>
          <w:i/>
          <w:iCs/>
        </w:rPr>
        <w:t>m</w:t>
      </w:r>
      <w:r w:rsidR="00071D80" w:rsidRPr="66F6E2FF">
        <w:rPr>
          <w:i/>
          <w:iCs/>
        </w:rPr>
        <w:t xml:space="preserve"> šetření, které se kryje s obdobím, kdy se dodavatelé typicky předzásobí </w:t>
      </w:r>
      <w:r w:rsidR="000B1E3A">
        <w:rPr>
          <w:i/>
          <w:iCs/>
        </w:rPr>
        <w:t xml:space="preserve">pro </w:t>
      </w:r>
      <w:r w:rsidR="00071D80" w:rsidRPr="66F6E2FF">
        <w:rPr>
          <w:i/>
          <w:iCs/>
        </w:rPr>
        <w:t>vtláčení</w:t>
      </w:r>
      <w:r w:rsidR="00B25510">
        <w:rPr>
          <w:i/>
          <w:iCs/>
        </w:rPr>
        <w:t xml:space="preserve"> plynu</w:t>
      </w:r>
      <w:r w:rsidR="00071D80" w:rsidRPr="66F6E2FF">
        <w:rPr>
          <w:i/>
          <w:iCs/>
        </w:rPr>
        <w:t xml:space="preserve"> do zásobníků</w:t>
      </w:r>
      <w:r w:rsidR="4A297B3E" w:rsidRPr="4C24AFFD">
        <w:rPr>
          <w:i/>
          <w:iCs/>
        </w:rPr>
        <w:t>,</w:t>
      </w:r>
      <w:r w:rsidRPr="66F6E2FF">
        <w:rPr>
          <w:i/>
          <w:iCs/>
        </w:rPr>
        <w:t>“</w:t>
      </w:r>
      <w:r w:rsidR="00071D80" w:rsidRPr="66F6E2FF">
        <w:rPr>
          <w:i/>
          <w:iCs/>
        </w:rPr>
        <w:t xml:space="preserve"> </w:t>
      </w:r>
      <w:r w:rsidR="13F7B16A">
        <w:t>upřesňuje</w:t>
      </w:r>
      <w:r w:rsidR="42D441B5">
        <w:t xml:space="preserve"> </w:t>
      </w:r>
      <w:r w:rsidR="00B25510">
        <w:rPr>
          <w:b/>
          <w:bCs/>
        </w:rPr>
        <w:t>Jan Šefránek</w:t>
      </w:r>
      <w:r w:rsidR="0D3FCEAB" w:rsidRPr="00A43988">
        <w:t xml:space="preserve">, a </w:t>
      </w:r>
      <w:r w:rsidR="00C80E51">
        <w:t>uzavírá</w:t>
      </w:r>
      <w:r w:rsidR="46F4CC56">
        <w:t xml:space="preserve">: </w:t>
      </w:r>
      <w:r w:rsidR="5F75CB79">
        <w:t>“</w:t>
      </w:r>
      <w:r w:rsidR="00B25510">
        <w:rPr>
          <w:i/>
          <w:iCs/>
        </w:rPr>
        <w:t xml:space="preserve">Právě uskladnění plynu v zásobnících je oblastí, na kterou se musíme jako Česká republika </w:t>
      </w:r>
      <w:r w:rsidR="00C80E51">
        <w:rPr>
          <w:i/>
          <w:iCs/>
        </w:rPr>
        <w:t xml:space="preserve">dále </w:t>
      </w:r>
      <w:r w:rsidR="00B25510">
        <w:rPr>
          <w:i/>
          <w:iCs/>
        </w:rPr>
        <w:t>více zaměřit</w:t>
      </w:r>
      <w:r w:rsidR="00334F14">
        <w:rPr>
          <w:i/>
          <w:iCs/>
        </w:rPr>
        <w:t xml:space="preserve"> tak</w:t>
      </w:r>
      <w:r w:rsidR="00B25510">
        <w:rPr>
          <w:i/>
          <w:iCs/>
        </w:rPr>
        <w:t xml:space="preserve">, aby </w:t>
      </w:r>
      <w:r w:rsidR="00C80E51">
        <w:rPr>
          <w:i/>
          <w:iCs/>
        </w:rPr>
        <w:t>plnil</w:t>
      </w:r>
      <w:r w:rsidR="00BE010B">
        <w:rPr>
          <w:i/>
          <w:iCs/>
        </w:rPr>
        <w:t>o</w:t>
      </w:r>
      <w:r w:rsidR="00C80E51">
        <w:rPr>
          <w:i/>
          <w:iCs/>
        </w:rPr>
        <w:t xml:space="preserve"> svoji roli jako prv</w:t>
      </w:r>
      <w:r w:rsidR="00745974">
        <w:rPr>
          <w:i/>
          <w:iCs/>
        </w:rPr>
        <w:t>e</w:t>
      </w:r>
      <w:r w:rsidR="00C80E51">
        <w:rPr>
          <w:i/>
          <w:iCs/>
        </w:rPr>
        <w:t>k posilujícího energetickou bezpečnost.</w:t>
      </w:r>
      <w:r w:rsidR="36889AA5">
        <w:t>"</w:t>
      </w:r>
    </w:p>
    <w:p w14:paraId="79049DCB" w14:textId="167F90C6" w:rsidR="007F2474" w:rsidRPr="007F2474" w:rsidRDefault="00071D80" w:rsidP="007F2474">
      <w:r>
        <w:t xml:space="preserve">ERÚ </w:t>
      </w:r>
      <w:r w:rsidR="23B8454E">
        <w:t>bude</w:t>
      </w:r>
      <w:r w:rsidR="24592379">
        <w:t xml:space="preserve"> </w:t>
      </w:r>
      <w:r>
        <w:t>bedlivě sledovat další vývoj na velkoobchodních trzích. V případě pokračující nestability velkoobchodních cen bude úřad detailní šetření, tedy monitoring nad rámec běžně reportovaného indexu zajištění, znovu opakovat v podzimních měsících.</w:t>
      </w:r>
    </w:p>
    <w:sectPr w:rsidR="007F2474" w:rsidRPr="007F2474" w:rsidSect="00BE2E0B">
      <w:headerReference w:type="default" r:id="rId11"/>
      <w:footerReference w:type="default" r:id="rId12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FC4F" w14:textId="77777777" w:rsidR="0066581C" w:rsidRDefault="0066581C" w:rsidP="004A01A7">
      <w:pPr>
        <w:spacing w:after="0" w:line="240" w:lineRule="auto"/>
      </w:pPr>
      <w:r>
        <w:separator/>
      </w:r>
    </w:p>
  </w:endnote>
  <w:endnote w:type="continuationSeparator" w:id="0">
    <w:p w14:paraId="6CE7BDC7" w14:textId="77777777" w:rsidR="0066581C" w:rsidRDefault="0066581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F237" w14:textId="77777777" w:rsidR="0066581C" w:rsidRDefault="0066581C" w:rsidP="004A01A7">
      <w:pPr>
        <w:spacing w:after="0" w:line="240" w:lineRule="auto"/>
      </w:pPr>
    </w:p>
  </w:footnote>
  <w:footnote w:type="continuationSeparator" w:id="0">
    <w:p w14:paraId="38E5D6DB" w14:textId="77777777" w:rsidR="0066581C" w:rsidRDefault="0066581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40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14DCB"/>
    <w:rsid w:val="0002560E"/>
    <w:rsid w:val="00032CCE"/>
    <w:rsid w:val="00035F16"/>
    <w:rsid w:val="00043335"/>
    <w:rsid w:val="00054392"/>
    <w:rsid w:val="0005510C"/>
    <w:rsid w:val="00065EC6"/>
    <w:rsid w:val="00071D80"/>
    <w:rsid w:val="00071F0F"/>
    <w:rsid w:val="00083A55"/>
    <w:rsid w:val="000849E7"/>
    <w:rsid w:val="00085436"/>
    <w:rsid w:val="00090C58"/>
    <w:rsid w:val="00091C36"/>
    <w:rsid w:val="0009494C"/>
    <w:rsid w:val="000968A9"/>
    <w:rsid w:val="000B1E3A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7EF"/>
    <w:rsid w:val="000F5A54"/>
    <w:rsid w:val="00102994"/>
    <w:rsid w:val="0011187F"/>
    <w:rsid w:val="00112DF0"/>
    <w:rsid w:val="0011329A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5201C"/>
    <w:rsid w:val="00160FEB"/>
    <w:rsid w:val="00164790"/>
    <w:rsid w:val="001712FE"/>
    <w:rsid w:val="00171B3E"/>
    <w:rsid w:val="00175680"/>
    <w:rsid w:val="00177C22"/>
    <w:rsid w:val="001909FA"/>
    <w:rsid w:val="001B57D0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6463"/>
    <w:rsid w:val="002173DB"/>
    <w:rsid w:val="00222610"/>
    <w:rsid w:val="002234D1"/>
    <w:rsid w:val="00224CCB"/>
    <w:rsid w:val="002363CA"/>
    <w:rsid w:val="002369B6"/>
    <w:rsid w:val="002438E1"/>
    <w:rsid w:val="0024676C"/>
    <w:rsid w:val="002520AD"/>
    <w:rsid w:val="00260DCA"/>
    <w:rsid w:val="00273A14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95A"/>
    <w:rsid w:val="002D3D3E"/>
    <w:rsid w:val="002D3FAD"/>
    <w:rsid w:val="002D796B"/>
    <w:rsid w:val="002E0F6B"/>
    <w:rsid w:val="002E397F"/>
    <w:rsid w:val="002F7004"/>
    <w:rsid w:val="002F7B20"/>
    <w:rsid w:val="0030061B"/>
    <w:rsid w:val="00303A0E"/>
    <w:rsid w:val="003206E7"/>
    <w:rsid w:val="003208E6"/>
    <w:rsid w:val="0032285E"/>
    <w:rsid w:val="00334F14"/>
    <w:rsid w:val="003351B8"/>
    <w:rsid w:val="0033654F"/>
    <w:rsid w:val="00350B7A"/>
    <w:rsid w:val="003521EF"/>
    <w:rsid w:val="003540FA"/>
    <w:rsid w:val="00356332"/>
    <w:rsid w:val="00363815"/>
    <w:rsid w:val="003654CD"/>
    <w:rsid w:val="00370110"/>
    <w:rsid w:val="00372598"/>
    <w:rsid w:val="00377C5B"/>
    <w:rsid w:val="00390722"/>
    <w:rsid w:val="00392F53"/>
    <w:rsid w:val="00393EC0"/>
    <w:rsid w:val="003A2A49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56D2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EE"/>
    <w:rsid w:val="00454DC7"/>
    <w:rsid w:val="004573FA"/>
    <w:rsid w:val="004607B2"/>
    <w:rsid w:val="00463047"/>
    <w:rsid w:val="004663AE"/>
    <w:rsid w:val="00466D27"/>
    <w:rsid w:val="0046727D"/>
    <w:rsid w:val="004723B2"/>
    <w:rsid w:val="00481A52"/>
    <w:rsid w:val="00493ED9"/>
    <w:rsid w:val="00496A2A"/>
    <w:rsid w:val="004977D7"/>
    <w:rsid w:val="004A01A7"/>
    <w:rsid w:val="004A09C5"/>
    <w:rsid w:val="004A2D41"/>
    <w:rsid w:val="004A38DD"/>
    <w:rsid w:val="004B4A94"/>
    <w:rsid w:val="004B7F5E"/>
    <w:rsid w:val="004C7DCA"/>
    <w:rsid w:val="004D1160"/>
    <w:rsid w:val="004D3E65"/>
    <w:rsid w:val="004E2A6F"/>
    <w:rsid w:val="004E6880"/>
    <w:rsid w:val="004E7E0E"/>
    <w:rsid w:val="00500A63"/>
    <w:rsid w:val="005125F2"/>
    <w:rsid w:val="00521746"/>
    <w:rsid w:val="00534403"/>
    <w:rsid w:val="0053738F"/>
    <w:rsid w:val="00542A56"/>
    <w:rsid w:val="00542CA8"/>
    <w:rsid w:val="00544A49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1F47"/>
    <w:rsid w:val="005766F1"/>
    <w:rsid w:val="005801BB"/>
    <w:rsid w:val="005865A4"/>
    <w:rsid w:val="00586756"/>
    <w:rsid w:val="0058729F"/>
    <w:rsid w:val="00587F1C"/>
    <w:rsid w:val="005970F5"/>
    <w:rsid w:val="00597A37"/>
    <w:rsid w:val="005A012C"/>
    <w:rsid w:val="005A4EC9"/>
    <w:rsid w:val="005A60C3"/>
    <w:rsid w:val="005C12CB"/>
    <w:rsid w:val="005C14EB"/>
    <w:rsid w:val="005C29C9"/>
    <w:rsid w:val="005F1310"/>
    <w:rsid w:val="00601C8A"/>
    <w:rsid w:val="00601DFE"/>
    <w:rsid w:val="006051FE"/>
    <w:rsid w:val="00606CF5"/>
    <w:rsid w:val="00607675"/>
    <w:rsid w:val="006120D2"/>
    <w:rsid w:val="0061583E"/>
    <w:rsid w:val="00623A4B"/>
    <w:rsid w:val="00624962"/>
    <w:rsid w:val="00626A46"/>
    <w:rsid w:val="00626A74"/>
    <w:rsid w:val="0062750B"/>
    <w:rsid w:val="00627BC8"/>
    <w:rsid w:val="0063034C"/>
    <w:rsid w:val="006362CE"/>
    <w:rsid w:val="00637E8B"/>
    <w:rsid w:val="00640730"/>
    <w:rsid w:val="00640E73"/>
    <w:rsid w:val="0064237D"/>
    <w:rsid w:val="00647757"/>
    <w:rsid w:val="00650D3D"/>
    <w:rsid w:val="00662328"/>
    <w:rsid w:val="0066581C"/>
    <w:rsid w:val="0067042F"/>
    <w:rsid w:val="00676BD0"/>
    <w:rsid w:val="0069631F"/>
    <w:rsid w:val="006A1422"/>
    <w:rsid w:val="006B06D8"/>
    <w:rsid w:val="006B27F3"/>
    <w:rsid w:val="006C0860"/>
    <w:rsid w:val="006C2A1A"/>
    <w:rsid w:val="006E31F1"/>
    <w:rsid w:val="006E7273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974"/>
    <w:rsid w:val="00746029"/>
    <w:rsid w:val="00765263"/>
    <w:rsid w:val="00783D3A"/>
    <w:rsid w:val="00787190"/>
    <w:rsid w:val="007D6A0E"/>
    <w:rsid w:val="007D6F07"/>
    <w:rsid w:val="007D776F"/>
    <w:rsid w:val="007E6CE7"/>
    <w:rsid w:val="007E7DC0"/>
    <w:rsid w:val="007F2474"/>
    <w:rsid w:val="007F2DD8"/>
    <w:rsid w:val="007F5C93"/>
    <w:rsid w:val="008078ED"/>
    <w:rsid w:val="00810EF8"/>
    <w:rsid w:val="00811964"/>
    <w:rsid w:val="00831511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E87"/>
    <w:rsid w:val="008B1AFF"/>
    <w:rsid w:val="008C1257"/>
    <w:rsid w:val="008C4A49"/>
    <w:rsid w:val="008D405D"/>
    <w:rsid w:val="008D5575"/>
    <w:rsid w:val="008E4CC2"/>
    <w:rsid w:val="008F125B"/>
    <w:rsid w:val="008F533C"/>
    <w:rsid w:val="00906D58"/>
    <w:rsid w:val="009149E6"/>
    <w:rsid w:val="0091638A"/>
    <w:rsid w:val="00916E60"/>
    <w:rsid w:val="00917C90"/>
    <w:rsid w:val="009434F6"/>
    <w:rsid w:val="00945FB9"/>
    <w:rsid w:val="009475A7"/>
    <w:rsid w:val="00951930"/>
    <w:rsid w:val="00952EAC"/>
    <w:rsid w:val="009610E2"/>
    <w:rsid w:val="0096469E"/>
    <w:rsid w:val="0097303D"/>
    <w:rsid w:val="00984352"/>
    <w:rsid w:val="00985819"/>
    <w:rsid w:val="009A389D"/>
    <w:rsid w:val="009B032C"/>
    <w:rsid w:val="009B0804"/>
    <w:rsid w:val="009B1428"/>
    <w:rsid w:val="009C081A"/>
    <w:rsid w:val="009C0BC3"/>
    <w:rsid w:val="009C31A6"/>
    <w:rsid w:val="009D3C4B"/>
    <w:rsid w:val="009D72AA"/>
    <w:rsid w:val="009E4B81"/>
    <w:rsid w:val="009E4CF2"/>
    <w:rsid w:val="009F3E9D"/>
    <w:rsid w:val="009F41B1"/>
    <w:rsid w:val="00A15A28"/>
    <w:rsid w:val="00A22C8B"/>
    <w:rsid w:val="00A23C0F"/>
    <w:rsid w:val="00A274A1"/>
    <w:rsid w:val="00A3283F"/>
    <w:rsid w:val="00A33A5C"/>
    <w:rsid w:val="00A346E3"/>
    <w:rsid w:val="00A43988"/>
    <w:rsid w:val="00A47859"/>
    <w:rsid w:val="00A54B8B"/>
    <w:rsid w:val="00A55A71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40A9"/>
    <w:rsid w:val="00AE6440"/>
    <w:rsid w:val="00AF06B0"/>
    <w:rsid w:val="00AF3319"/>
    <w:rsid w:val="00AF39AC"/>
    <w:rsid w:val="00AF6E9E"/>
    <w:rsid w:val="00B0330A"/>
    <w:rsid w:val="00B07208"/>
    <w:rsid w:val="00B1335D"/>
    <w:rsid w:val="00B20370"/>
    <w:rsid w:val="00B2195A"/>
    <w:rsid w:val="00B25510"/>
    <w:rsid w:val="00B31BB1"/>
    <w:rsid w:val="00B40FAD"/>
    <w:rsid w:val="00B43D9B"/>
    <w:rsid w:val="00B51C8F"/>
    <w:rsid w:val="00B602D0"/>
    <w:rsid w:val="00B62344"/>
    <w:rsid w:val="00B70022"/>
    <w:rsid w:val="00B7165F"/>
    <w:rsid w:val="00B733E5"/>
    <w:rsid w:val="00B759AD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3B66"/>
    <w:rsid w:val="00BD7AAF"/>
    <w:rsid w:val="00BE010B"/>
    <w:rsid w:val="00BE2E0B"/>
    <w:rsid w:val="00BE3BE4"/>
    <w:rsid w:val="00BE5550"/>
    <w:rsid w:val="00BF19A5"/>
    <w:rsid w:val="00BF3C1E"/>
    <w:rsid w:val="00BF48BE"/>
    <w:rsid w:val="00BF58C9"/>
    <w:rsid w:val="00C044C1"/>
    <w:rsid w:val="00C12B28"/>
    <w:rsid w:val="00C15C5E"/>
    <w:rsid w:val="00C2025C"/>
    <w:rsid w:val="00C206E5"/>
    <w:rsid w:val="00C21594"/>
    <w:rsid w:val="00C23A1D"/>
    <w:rsid w:val="00C240F6"/>
    <w:rsid w:val="00C27B17"/>
    <w:rsid w:val="00C311A5"/>
    <w:rsid w:val="00C4391D"/>
    <w:rsid w:val="00C47D31"/>
    <w:rsid w:val="00C5077B"/>
    <w:rsid w:val="00C50E02"/>
    <w:rsid w:val="00C559EC"/>
    <w:rsid w:val="00C5653C"/>
    <w:rsid w:val="00C56D7F"/>
    <w:rsid w:val="00C5725B"/>
    <w:rsid w:val="00C61C26"/>
    <w:rsid w:val="00C64243"/>
    <w:rsid w:val="00C678BE"/>
    <w:rsid w:val="00C70BC3"/>
    <w:rsid w:val="00C74A09"/>
    <w:rsid w:val="00C80E51"/>
    <w:rsid w:val="00CA3ABB"/>
    <w:rsid w:val="00CA608A"/>
    <w:rsid w:val="00CB1B52"/>
    <w:rsid w:val="00CB1E4F"/>
    <w:rsid w:val="00CB4023"/>
    <w:rsid w:val="00CB5EF1"/>
    <w:rsid w:val="00CB6B2A"/>
    <w:rsid w:val="00CB746B"/>
    <w:rsid w:val="00CC0409"/>
    <w:rsid w:val="00CC309B"/>
    <w:rsid w:val="00CC35A2"/>
    <w:rsid w:val="00CC3FF7"/>
    <w:rsid w:val="00CC69DA"/>
    <w:rsid w:val="00CC7927"/>
    <w:rsid w:val="00CD0856"/>
    <w:rsid w:val="00CD784B"/>
    <w:rsid w:val="00CE0BC6"/>
    <w:rsid w:val="00CE6AAA"/>
    <w:rsid w:val="00CF6094"/>
    <w:rsid w:val="00CF6697"/>
    <w:rsid w:val="00D066AA"/>
    <w:rsid w:val="00D15B3B"/>
    <w:rsid w:val="00D20AC3"/>
    <w:rsid w:val="00D20DCF"/>
    <w:rsid w:val="00D369F5"/>
    <w:rsid w:val="00D42D89"/>
    <w:rsid w:val="00D50FAD"/>
    <w:rsid w:val="00D5508E"/>
    <w:rsid w:val="00D63056"/>
    <w:rsid w:val="00D66CB2"/>
    <w:rsid w:val="00D676D3"/>
    <w:rsid w:val="00D70040"/>
    <w:rsid w:val="00D7143F"/>
    <w:rsid w:val="00D85575"/>
    <w:rsid w:val="00DA10DB"/>
    <w:rsid w:val="00DC3D08"/>
    <w:rsid w:val="00DD3D93"/>
    <w:rsid w:val="00DD4E3E"/>
    <w:rsid w:val="00DD6476"/>
    <w:rsid w:val="00DD6689"/>
    <w:rsid w:val="00DE0EE6"/>
    <w:rsid w:val="00DF3F66"/>
    <w:rsid w:val="00E12747"/>
    <w:rsid w:val="00E14659"/>
    <w:rsid w:val="00E24FEA"/>
    <w:rsid w:val="00E26AFE"/>
    <w:rsid w:val="00E32B5D"/>
    <w:rsid w:val="00E330ED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71D2"/>
    <w:rsid w:val="00E8736C"/>
    <w:rsid w:val="00E9571D"/>
    <w:rsid w:val="00E97FB6"/>
    <w:rsid w:val="00EA1A03"/>
    <w:rsid w:val="00EA3E77"/>
    <w:rsid w:val="00EB530C"/>
    <w:rsid w:val="00EB5DA8"/>
    <w:rsid w:val="00EC2292"/>
    <w:rsid w:val="00EE0BE7"/>
    <w:rsid w:val="00EF1786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EF5"/>
    <w:rsid w:val="00F4744C"/>
    <w:rsid w:val="00F5504D"/>
    <w:rsid w:val="00F562EF"/>
    <w:rsid w:val="00F56817"/>
    <w:rsid w:val="00F668A6"/>
    <w:rsid w:val="00F70F49"/>
    <w:rsid w:val="00F76478"/>
    <w:rsid w:val="00F76830"/>
    <w:rsid w:val="00F837DE"/>
    <w:rsid w:val="00F912EE"/>
    <w:rsid w:val="00FA0FB3"/>
    <w:rsid w:val="00FA5A76"/>
    <w:rsid w:val="00FA634C"/>
    <w:rsid w:val="00FA79CC"/>
    <w:rsid w:val="00FA7B77"/>
    <w:rsid w:val="00FB11FD"/>
    <w:rsid w:val="00FB4ED4"/>
    <w:rsid w:val="00FB4F1B"/>
    <w:rsid w:val="00FB57B9"/>
    <w:rsid w:val="00FC186E"/>
    <w:rsid w:val="00FD293E"/>
    <w:rsid w:val="00FD5BC4"/>
    <w:rsid w:val="00FD5BEC"/>
    <w:rsid w:val="00FD5E47"/>
    <w:rsid w:val="00FD7332"/>
    <w:rsid w:val="00FE7E23"/>
    <w:rsid w:val="00FF41B8"/>
    <w:rsid w:val="016DFCB4"/>
    <w:rsid w:val="0810F299"/>
    <w:rsid w:val="0BA72113"/>
    <w:rsid w:val="0C099120"/>
    <w:rsid w:val="0C4640E3"/>
    <w:rsid w:val="0D3FCEAB"/>
    <w:rsid w:val="100F80EC"/>
    <w:rsid w:val="1059C244"/>
    <w:rsid w:val="1093535E"/>
    <w:rsid w:val="1195D9E2"/>
    <w:rsid w:val="13F7B16A"/>
    <w:rsid w:val="173DE21B"/>
    <w:rsid w:val="177AE52B"/>
    <w:rsid w:val="18D2D1F8"/>
    <w:rsid w:val="190721C3"/>
    <w:rsid w:val="1B282D92"/>
    <w:rsid w:val="1C892C81"/>
    <w:rsid w:val="1CA626AF"/>
    <w:rsid w:val="1CB3D647"/>
    <w:rsid w:val="1DA7A560"/>
    <w:rsid w:val="23B8454E"/>
    <w:rsid w:val="242505EA"/>
    <w:rsid w:val="24592379"/>
    <w:rsid w:val="26721F8F"/>
    <w:rsid w:val="28388DBE"/>
    <w:rsid w:val="2A718315"/>
    <w:rsid w:val="333AEBD7"/>
    <w:rsid w:val="33F24CCF"/>
    <w:rsid w:val="36889AA5"/>
    <w:rsid w:val="36B13B60"/>
    <w:rsid w:val="37768F20"/>
    <w:rsid w:val="37897407"/>
    <w:rsid w:val="3A6878DC"/>
    <w:rsid w:val="3C52F4A8"/>
    <w:rsid w:val="428808FD"/>
    <w:rsid w:val="42CC5EA3"/>
    <w:rsid w:val="42D441B5"/>
    <w:rsid w:val="4451AB89"/>
    <w:rsid w:val="44FEA7DE"/>
    <w:rsid w:val="46F4CC56"/>
    <w:rsid w:val="4A297B3E"/>
    <w:rsid w:val="4C24AFFD"/>
    <w:rsid w:val="4C271788"/>
    <w:rsid w:val="4DF59327"/>
    <w:rsid w:val="4EA7FE97"/>
    <w:rsid w:val="4EC737F6"/>
    <w:rsid w:val="4F892A60"/>
    <w:rsid w:val="520E254D"/>
    <w:rsid w:val="5213FA87"/>
    <w:rsid w:val="58487078"/>
    <w:rsid w:val="59583587"/>
    <w:rsid w:val="5F75CB79"/>
    <w:rsid w:val="6003ABDE"/>
    <w:rsid w:val="60241675"/>
    <w:rsid w:val="6159DF5F"/>
    <w:rsid w:val="66F559E9"/>
    <w:rsid w:val="66F6E2FF"/>
    <w:rsid w:val="67583BB0"/>
    <w:rsid w:val="67E7CBE8"/>
    <w:rsid w:val="6979045A"/>
    <w:rsid w:val="6D19E901"/>
    <w:rsid w:val="6D59D6B0"/>
    <w:rsid w:val="6F71E5BE"/>
    <w:rsid w:val="6F9002D3"/>
    <w:rsid w:val="702AC21F"/>
    <w:rsid w:val="705626CC"/>
    <w:rsid w:val="71E63E98"/>
    <w:rsid w:val="72A5D28F"/>
    <w:rsid w:val="75474340"/>
    <w:rsid w:val="768A9474"/>
    <w:rsid w:val="7A66BB78"/>
    <w:rsid w:val="7BA1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FD50E771-1AD3-40AD-B106-32E6DC49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597A37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597A37"/>
    <w:pPr>
      <w:spacing w:line="240" w:lineRule="auto"/>
    </w:pPr>
  </w:style>
  <w:style w:type="character" w:customStyle="1" w:styleId="CommentTextChar">
    <w:name w:val="Comment Text Char"/>
    <w:basedOn w:val="Standardnpsmoodstavce"/>
    <w:link w:val="CommentText"/>
    <w:uiPriority w:val="99"/>
    <w:rsid w:val="00597A3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9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28859888366E47B6C767E61478B20C" ma:contentTypeVersion="9" ma:contentTypeDescription="Vytvoří nový dokument" ma:contentTypeScope="" ma:versionID="a02f2fc26a646fa7dc6cb802ffa835d6">
  <xsd:schema xmlns:xsd="http://www.w3.org/2001/XMLSchema" xmlns:xs="http://www.w3.org/2001/XMLSchema" xmlns:p="http://schemas.microsoft.com/office/2006/metadata/properties" xmlns:ns3="557c6a63-f639-4f12-9225-24f059d99d69" targetNamespace="http://schemas.microsoft.com/office/2006/metadata/properties" ma:root="true" ma:fieldsID="7bb0611890beac00917c8a1fbcea8752" ns3:_="">
    <xsd:import namespace="557c6a63-f639-4f12-9225-24f059d99d6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c6a63-f639-4f12-9225-24f059d99d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7c6a63-f639-4f12-9225-24f059d99d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0570D-879A-47DF-84B8-FB2E1D8C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c6a63-f639-4f12-9225-24f059d9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  <ds:schemaRef ds:uri="557c6a63-f639-4f12-9225-24f059d99d69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4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Hamrník</dc:creator>
  <cp:keywords/>
  <dc:description/>
  <cp:lastModifiedBy>Kebort Michal Bc.</cp:lastModifiedBy>
  <cp:revision>3</cp:revision>
  <cp:lastPrinted>2026-05-29T06:43:00Z</cp:lastPrinted>
  <dcterms:created xsi:type="dcterms:W3CDTF">2026-05-29T06:43:00Z</dcterms:created>
  <dcterms:modified xsi:type="dcterms:W3CDTF">2026-05-29T06:46:00Z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0x010100DD28859888366E47B6C767E61478B20C</vt:lpwstr>
  </property>
</Properties>
</file>