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DC03" w14:textId="17A20302" w:rsidR="008510ED" w:rsidRPr="00E82296" w:rsidRDefault="00C06712" w:rsidP="00E82296">
      <w:pPr>
        <w:pStyle w:val="NadpisX"/>
      </w:pPr>
      <w:r>
        <w:t xml:space="preserve">ERÚ </w:t>
      </w:r>
      <w:r w:rsidR="00E539B8">
        <w:t xml:space="preserve">loni </w:t>
      </w:r>
      <w:r w:rsidR="00DD1263">
        <w:t xml:space="preserve">udělil rekordní pokuty za </w:t>
      </w:r>
      <w:r w:rsidR="00E539B8">
        <w:t>praktiky proti spotřebitelům</w:t>
      </w:r>
      <w:r w:rsidR="00EB5CB3">
        <w:t xml:space="preserve"> </w:t>
      </w:r>
    </w:p>
    <w:p w14:paraId="17BF3D5A" w14:textId="70D23755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143C60" w:rsidRPr="00143C60">
        <w:rPr>
          <w:szCs w:val="20"/>
          <w:lang w:eastAsia="en-US"/>
        </w:rPr>
        <w:t>23</w:t>
      </w:r>
      <w:r w:rsidRPr="00143C60">
        <w:rPr>
          <w:szCs w:val="20"/>
          <w:lang w:eastAsia="en-US"/>
        </w:rPr>
        <w:t>.</w:t>
      </w:r>
      <w:r w:rsidR="00D42206">
        <w:rPr>
          <w:szCs w:val="20"/>
          <w:lang w:eastAsia="en-US"/>
        </w:rPr>
        <w:t>2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1EA16C81" w14:textId="348E880F" w:rsidR="008510ED" w:rsidRPr="00D67EE8" w:rsidRDefault="00EB5CB3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Energetický regulační úřad (ERÚ) v loňském roce pokračoval v přísném trestání </w:t>
      </w:r>
      <w:proofErr w:type="spellStart"/>
      <w:r>
        <w:rPr>
          <w:b/>
          <w:i/>
          <w:szCs w:val="20"/>
        </w:rPr>
        <w:t>protispotřebitelských</w:t>
      </w:r>
      <w:proofErr w:type="spellEnd"/>
      <w:r>
        <w:rPr>
          <w:b/>
          <w:i/>
          <w:szCs w:val="20"/>
        </w:rPr>
        <w:t xml:space="preserve"> praktik. Dodavatelům a zprostředkovatelům za ně udělil rekordní pokuty v celkové výši 18,5 milionu korun. </w:t>
      </w:r>
      <w:r w:rsidR="00DD1263">
        <w:rPr>
          <w:b/>
          <w:i/>
          <w:szCs w:val="20"/>
        </w:rPr>
        <w:t xml:space="preserve">Jedna ze společností </w:t>
      </w:r>
      <w:r w:rsidR="00BE0667">
        <w:rPr>
          <w:b/>
          <w:i/>
          <w:szCs w:val="20"/>
        </w:rPr>
        <w:t xml:space="preserve">navíc obdržela </w:t>
      </w:r>
      <w:r w:rsidR="00DD1263">
        <w:rPr>
          <w:b/>
          <w:i/>
          <w:szCs w:val="20"/>
        </w:rPr>
        <w:t xml:space="preserve">i </w:t>
      </w:r>
      <w:r w:rsidR="00BE0667">
        <w:rPr>
          <w:b/>
          <w:i/>
          <w:szCs w:val="20"/>
        </w:rPr>
        <w:t xml:space="preserve">nejvyšší sankci v jediném řízení, a to šestimilionovou. </w:t>
      </w:r>
      <w:r w:rsidR="00DD1263">
        <w:rPr>
          <w:b/>
          <w:i/>
          <w:szCs w:val="20"/>
        </w:rPr>
        <w:t xml:space="preserve">Zároveň přibylo </w:t>
      </w:r>
      <w:r w:rsidR="009F64B4">
        <w:rPr>
          <w:b/>
          <w:i/>
          <w:szCs w:val="20"/>
        </w:rPr>
        <w:t xml:space="preserve">podnětů na kontrolu energetických zprostředkovatelů. </w:t>
      </w:r>
    </w:p>
    <w:p w14:paraId="30CE2565" w14:textId="7AB3FD48" w:rsidR="00D67EE8" w:rsidRDefault="005F7BF4" w:rsidP="0052318D">
      <w:pPr>
        <w:tabs>
          <w:tab w:val="left" w:pos="4536"/>
        </w:tabs>
        <w:spacing w:after="180"/>
        <w:jc w:val="both"/>
        <w:rPr>
          <w:szCs w:val="20"/>
        </w:rPr>
      </w:pPr>
      <w:r>
        <w:rPr>
          <w:szCs w:val="20"/>
        </w:rPr>
        <w:t>Nevystavená vyúčtování</w:t>
      </w:r>
      <w:r w:rsidR="00DD1263">
        <w:rPr>
          <w:szCs w:val="20"/>
        </w:rPr>
        <w:t>,</w:t>
      </w:r>
      <w:r>
        <w:rPr>
          <w:szCs w:val="20"/>
        </w:rPr>
        <w:t xml:space="preserve"> </w:t>
      </w:r>
      <w:r w:rsidR="00DD1263">
        <w:rPr>
          <w:szCs w:val="20"/>
        </w:rPr>
        <w:t>n</w:t>
      </w:r>
      <w:r>
        <w:rPr>
          <w:szCs w:val="20"/>
        </w:rPr>
        <w:t>evyřízené reklamace</w:t>
      </w:r>
      <w:r w:rsidR="00DD1263">
        <w:rPr>
          <w:szCs w:val="20"/>
        </w:rPr>
        <w:t>,</w:t>
      </w:r>
      <w:r>
        <w:rPr>
          <w:szCs w:val="20"/>
        </w:rPr>
        <w:t xml:space="preserve"> </w:t>
      </w:r>
      <w:r w:rsidR="00DD1263">
        <w:rPr>
          <w:szCs w:val="20"/>
        </w:rPr>
        <w:t>n</w:t>
      </w:r>
      <w:r>
        <w:rPr>
          <w:szCs w:val="20"/>
        </w:rPr>
        <w:t>evrácené přeplatky</w:t>
      </w:r>
      <w:r w:rsidR="00DD1263">
        <w:rPr>
          <w:szCs w:val="20"/>
        </w:rPr>
        <w:t>,</w:t>
      </w:r>
      <w:r>
        <w:rPr>
          <w:szCs w:val="20"/>
        </w:rPr>
        <w:t xml:space="preserve"> </w:t>
      </w:r>
      <w:r w:rsidR="00DD1263">
        <w:rPr>
          <w:szCs w:val="20"/>
        </w:rPr>
        <w:t>z</w:t>
      </w:r>
      <w:r>
        <w:rPr>
          <w:szCs w:val="20"/>
        </w:rPr>
        <w:t>nemožňování odchodu klientů k jinému dodavateli</w:t>
      </w:r>
      <w:r w:rsidR="00DD1263">
        <w:rPr>
          <w:szCs w:val="20"/>
        </w:rPr>
        <w:t>,</w:t>
      </w:r>
      <w:r>
        <w:rPr>
          <w:szCs w:val="20"/>
        </w:rPr>
        <w:t xml:space="preserve"> </w:t>
      </w:r>
      <w:r w:rsidR="00DD1263">
        <w:rPr>
          <w:szCs w:val="20"/>
        </w:rPr>
        <w:t xml:space="preserve">protiprávní </w:t>
      </w:r>
      <w:r>
        <w:rPr>
          <w:szCs w:val="20"/>
        </w:rPr>
        <w:t xml:space="preserve">převádění zákazníků </w:t>
      </w:r>
      <w:r w:rsidR="00B60AF5">
        <w:rPr>
          <w:szCs w:val="20"/>
        </w:rPr>
        <w:t>n</w:t>
      </w:r>
      <w:r>
        <w:rPr>
          <w:szCs w:val="20"/>
        </w:rPr>
        <w:t>a tzv. spotové produkt</w:t>
      </w:r>
      <w:r w:rsidR="0052318D">
        <w:rPr>
          <w:szCs w:val="20"/>
        </w:rPr>
        <w:t>y</w:t>
      </w:r>
      <w:r w:rsidR="00DD1263">
        <w:rPr>
          <w:szCs w:val="20"/>
        </w:rPr>
        <w:t xml:space="preserve"> – to jsou hlavní prohřešky, za kter</w:t>
      </w:r>
      <w:r w:rsidR="001B41D0">
        <w:rPr>
          <w:szCs w:val="20"/>
        </w:rPr>
        <w:t xml:space="preserve">é </w:t>
      </w:r>
      <w:r>
        <w:rPr>
          <w:szCs w:val="20"/>
        </w:rPr>
        <w:t xml:space="preserve">ERÚ loni </w:t>
      </w:r>
      <w:r w:rsidR="00DA3E64">
        <w:rPr>
          <w:szCs w:val="20"/>
        </w:rPr>
        <w:t>konkrétním</w:t>
      </w:r>
      <w:r w:rsidR="001B41D0">
        <w:rPr>
          <w:szCs w:val="20"/>
        </w:rPr>
        <w:t xml:space="preserve"> </w:t>
      </w:r>
      <w:r>
        <w:rPr>
          <w:szCs w:val="20"/>
        </w:rPr>
        <w:t xml:space="preserve">dodavatelům </w:t>
      </w:r>
      <w:r w:rsidR="00B60AF5">
        <w:rPr>
          <w:szCs w:val="20"/>
        </w:rPr>
        <w:t xml:space="preserve">energie </w:t>
      </w:r>
      <w:r>
        <w:rPr>
          <w:szCs w:val="20"/>
        </w:rPr>
        <w:t>uděl</w:t>
      </w:r>
      <w:r w:rsidR="00C20522">
        <w:rPr>
          <w:szCs w:val="20"/>
        </w:rPr>
        <w:t>il</w:t>
      </w:r>
      <w:r w:rsidR="00937E53">
        <w:rPr>
          <w:szCs w:val="20"/>
        </w:rPr>
        <w:t xml:space="preserve"> </w:t>
      </w:r>
      <w:r>
        <w:rPr>
          <w:szCs w:val="20"/>
        </w:rPr>
        <w:t>pokuty</w:t>
      </w:r>
      <w:r w:rsidR="00B60AF5">
        <w:rPr>
          <w:szCs w:val="20"/>
        </w:rPr>
        <w:t>. V celkovém součtu se sankce vyšplhaly na částku 18,5 milionu korun</w:t>
      </w:r>
      <w:r w:rsidR="003034B9">
        <w:rPr>
          <w:szCs w:val="20"/>
        </w:rPr>
        <w:t>. Padl tak předloňský rekord, a to nejen co se celkových pokut týče</w:t>
      </w:r>
      <w:r w:rsidR="001B41D0">
        <w:rPr>
          <w:szCs w:val="20"/>
        </w:rPr>
        <w:t>,</w:t>
      </w:r>
      <w:r w:rsidR="003034B9">
        <w:rPr>
          <w:szCs w:val="20"/>
        </w:rPr>
        <w:t xml:space="preserve"> </w:t>
      </w:r>
      <w:r w:rsidR="001B41D0">
        <w:rPr>
          <w:szCs w:val="20"/>
        </w:rPr>
        <w:t xml:space="preserve">udělena </w:t>
      </w:r>
      <w:r w:rsidR="003034B9">
        <w:rPr>
          <w:szCs w:val="20"/>
        </w:rPr>
        <w:t xml:space="preserve">byla zároveň nejvyšší individuální pokuta. </w:t>
      </w:r>
    </w:p>
    <w:p w14:paraId="1DBE9144" w14:textId="60FA090F" w:rsidR="00B60AF5" w:rsidRDefault="00B60AF5" w:rsidP="006F76EA">
      <w:pPr>
        <w:spacing w:after="180"/>
        <w:jc w:val="both"/>
        <w:rPr>
          <w:szCs w:val="20"/>
        </w:rPr>
      </w:pPr>
      <w:r w:rsidRPr="00937E53">
        <w:rPr>
          <w:i/>
          <w:iCs/>
          <w:szCs w:val="20"/>
        </w:rPr>
        <w:t>„</w:t>
      </w:r>
      <w:r w:rsidR="00937E53" w:rsidRPr="00937E53">
        <w:rPr>
          <w:i/>
          <w:iCs/>
          <w:szCs w:val="20"/>
        </w:rPr>
        <w:t>Výše p</w:t>
      </w:r>
      <w:r w:rsidRPr="00937E53">
        <w:rPr>
          <w:i/>
          <w:iCs/>
          <w:szCs w:val="20"/>
        </w:rPr>
        <w:t>okut</w:t>
      </w:r>
      <w:r w:rsidR="003034B9">
        <w:rPr>
          <w:i/>
          <w:iCs/>
          <w:szCs w:val="20"/>
        </w:rPr>
        <w:t xml:space="preserve"> za </w:t>
      </w:r>
      <w:proofErr w:type="spellStart"/>
      <w:r w:rsidR="003034B9">
        <w:rPr>
          <w:i/>
          <w:iCs/>
          <w:szCs w:val="20"/>
        </w:rPr>
        <w:t>protispotřebitelsk</w:t>
      </w:r>
      <w:r w:rsidR="001B41D0">
        <w:rPr>
          <w:i/>
          <w:iCs/>
          <w:szCs w:val="20"/>
        </w:rPr>
        <w:t>á</w:t>
      </w:r>
      <w:proofErr w:type="spellEnd"/>
      <w:r w:rsidR="003034B9">
        <w:rPr>
          <w:i/>
          <w:iCs/>
          <w:szCs w:val="20"/>
        </w:rPr>
        <w:t xml:space="preserve"> jednání rok od roku roste.</w:t>
      </w:r>
      <w:r w:rsidR="00937E53" w:rsidRPr="00937E53">
        <w:rPr>
          <w:i/>
          <w:iCs/>
          <w:szCs w:val="20"/>
        </w:rPr>
        <w:t xml:space="preserve"> Loni jsme </w:t>
      </w:r>
      <w:r w:rsidR="009A78AA">
        <w:rPr>
          <w:i/>
          <w:iCs/>
          <w:szCs w:val="20"/>
        </w:rPr>
        <w:t xml:space="preserve">za tyto prohřešky </w:t>
      </w:r>
      <w:r w:rsidR="00937E53" w:rsidRPr="00937E53">
        <w:rPr>
          <w:i/>
          <w:iCs/>
          <w:szCs w:val="20"/>
        </w:rPr>
        <w:t xml:space="preserve">uložili sankce za </w:t>
      </w:r>
      <w:r w:rsidR="001B41D0">
        <w:rPr>
          <w:i/>
          <w:iCs/>
          <w:szCs w:val="20"/>
        </w:rPr>
        <w:t xml:space="preserve">rekordních </w:t>
      </w:r>
      <w:r w:rsidR="00937E53" w:rsidRPr="00937E53">
        <w:rPr>
          <w:i/>
          <w:iCs/>
          <w:szCs w:val="20"/>
        </w:rPr>
        <w:t>18,5 milionu korun</w:t>
      </w:r>
      <w:r w:rsidR="003034B9">
        <w:rPr>
          <w:i/>
          <w:iCs/>
          <w:szCs w:val="20"/>
        </w:rPr>
        <w:t xml:space="preserve">. </w:t>
      </w:r>
      <w:r w:rsidR="007A6991">
        <w:rPr>
          <w:i/>
          <w:iCs/>
          <w:szCs w:val="20"/>
        </w:rPr>
        <w:t xml:space="preserve">Za poslední dva roky se tak objem </w:t>
      </w:r>
      <w:r w:rsidR="004E7AF9">
        <w:rPr>
          <w:i/>
          <w:iCs/>
          <w:szCs w:val="20"/>
        </w:rPr>
        <w:t xml:space="preserve">těchto </w:t>
      </w:r>
      <w:r w:rsidR="007A6991">
        <w:rPr>
          <w:i/>
          <w:iCs/>
          <w:szCs w:val="20"/>
        </w:rPr>
        <w:t>pokut</w:t>
      </w:r>
      <w:r w:rsidR="009A78AA">
        <w:rPr>
          <w:i/>
          <w:iCs/>
          <w:szCs w:val="20"/>
        </w:rPr>
        <w:t xml:space="preserve"> více než </w:t>
      </w:r>
      <w:r w:rsidR="007A6991">
        <w:rPr>
          <w:i/>
          <w:iCs/>
          <w:szCs w:val="20"/>
        </w:rPr>
        <w:t>zdvojnásobil</w:t>
      </w:r>
      <w:r w:rsidR="003034B9">
        <w:rPr>
          <w:i/>
          <w:iCs/>
          <w:szCs w:val="20"/>
        </w:rPr>
        <w:t>.</w:t>
      </w:r>
      <w:r w:rsidR="00D151E5">
        <w:rPr>
          <w:i/>
          <w:iCs/>
          <w:szCs w:val="20"/>
        </w:rPr>
        <w:t xml:space="preserve"> </w:t>
      </w:r>
      <w:r w:rsidR="001B41D0">
        <w:rPr>
          <w:i/>
          <w:iCs/>
          <w:szCs w:val="20"/>
        </w:rPr>
        <w:t xml:space="preserve">Ochrana spotřebitele je jednou z našich prioritních oblastí, na kterou se </w:t>
      </w:r>
      <w:r w:rsidR="00DA3E64">
        <w:rPr>
          <w:i/>
          <w:iCs/>
          <w:szCs w:val="20"/>
        </w:rPr>
        <w:t xml:space="preserve">zaměříme i do budoucna s cílem </w:t>
      </w:r>
      <w:r w:rsidR="001B41D0">
        <w:rPr>
          <w:i/>
          <w:iCs/>
          <w:szCs w:val="20"/>
        </w:rPr>
        <w:t xml:space="preserve">vyčištění trhu od </w:t>
      </w:r>
      <w:r w:rsidR="009A78AA">
        <w:rPr>
          <w:i/>
          <w:iCs/>
          <w:szCs w:val="20"/>
        </w:rPr>
        <w:t>nežádoucích</w:t>
      </w:r>
      <w:r w:rsidR="001B41D0">
        <w:rPr>
          <w:i/>
          <w:iCs/>
          <w:szCs w:val="20"/>
        </w:rPr>
        <w:t xml:space="preserve"> praktik</w:t>
      </w:r>
      <w:r w:rsidR="007A6991">
        <w:rPr>
          <w:i/>
          <w:iCs/>
          <w:szCs w:val="20"/>
        </w:rPr>
        <w:t>. Zásadní je rovněž prevence včetně osvěty spotřebitelů</w:t>
      </w:r>
      <w:r w:rsidR="004E7AF9">
        <w:rPr>
          <w:i/>
          <w:iCs/>
          <w:szCs w:val="20"/>
        </w:rPr>
        <w:t>,</w:t>
      </w:r>
      <w:r w:rsidR="007A6991">
        <w:rPr>
          <w:i/>
          <w:iCs/>
          <w:szCs w:val="20"/>
        </w:rPr>
        <w:t xml:space="preserve"> abychom problémům předcházeli</w:t>
      </w:r>
      <w:r w:rsidR="00DA3E64">
        <w:rPr>
          <w:i/>
          <w:iCs/>
          <w:szCs w:val="20"/>
        </w:rPr>
        <w:t>,</w:t>
      </w:r>
      <w:r w:rsidR="001B41D0">
        <w:rPr>
          <w:i/>
          <w:iCs/>
          <w:szCs w:val="20"/>
        </w:rPr>
        <w:t xml:space="preserve"> </w:t>
      </w:r>
      <w:r w:rsidR="00937E53" w:rsidRPr="00937E53">
        <w:rPr>
          <w:i/>
          <w:iCs/>
          <w:szCs w:val="20"/>
        </w:rPr>
        <w:t>“</w:t>
      </w:r>
      <w:r w:rsidR="00937E53">
        <w:rPr>
          <w:szCs w:val="20"/>
        </w:rPr>
        <w:t xml:space="preserve"> </w:t>
      </w:r>
      <w:r w:rsidR="00DA3E64">
        <w:rPr>
          <w:szCs w:val="20"/>
        </w:rPr>
        <w:t xml:space="preserve">uvádí </w:t>
      </w:r>
      <w:r w:rsidR="00937E53" w:rsidRPr="00937E53">
        <w:rPr>
          <w:b/>
          <w:bCs/>
          <w:szCs w:val="20"/>
        </w:rPr>
        <w:t>Jan Šefránek, předseda ERÚ</w:t>
      </w:r>
      <w:r w:rsidR="00982205">
        <w:rPr>
          <w:szCs w:val="20"/>
        </w:rPr>
        <w:t xml:space="preserve">.  </w:t>
      </w:r>
    </w:p>
    <w:p w14:paraId="792CE6EA" w14:textId="6EA70E6F" w:rsidR="00982205" w:rsidRDefault="00D7644C" w:rsidP="006F76EA">
      <w:pPr>
        <w:spacing w:after="180"/>
        <w:jc w:val="both"/>
        <w:rPr>
          <w:szCs w:val="20"/>
        </w:rPr>
      </w:pPr>
      <w:r>
        <w:rPr>
          <w:szCs w:val="20"/>
        </w:rPr>
        <w:t>Pokuty za jednání proti spotřebitelům tvoří stále vyšší podíl na celkových sankcích uložených úřadem. Loni to byly téměř dvě třetiny z celkových 28,4 milionů korun pravomocně uložených pokut za veškeré přestupky spáchané v oblasti energetiky – mimochodem, i tento údaj pokořil dosavadní rekord.</w:t>
      </w:r>
      <w:r w:rsidR="00982205">
        <w:rPr>
          <w:szCs w:val="20"/>
        </w:rPr>
        <w:t xml:space="preserve"> </w:t>
      </w:r>
    </w:p>
    <w:p w14:paraId="18B0FB04" w14:textId="0845BBA6" w:rsidR="00437185" w:rsidRDefault="00437185" w:rsidP="006F76EA">
      <w:pPr>
        <w:spacing w:after="180"/>
        <w:jc w:val="both"/>
        <w:rPr>
          <w:szCs w:val="20"/>
        </w:rPr>
      </w:pPr>
      <w:r>
        <w:rPr>
          <w:szCs w:val="20"/>
        </w:rPr>
        <w:t>S</w:t>
      </w:r>
      <w:r w:rsidR="007C139C">
        <w:rPr>
          <w:szCs w:val="20"/>
        </w:rPr>
        <w:t xml:space="preserve">ankčnímu řízení, jehož výsledkem může být </w:t>
      </w:r>
      <w:r w:rsidR="009A78AA">
        <w:rPr>
          <w:szCs w:val="20"/>
        </w:rPr>
        <w:t xml:space="preserve">nakonec </w:t>
      </w:r>
      <w:r w:rsidR="007C139C">
        <w:rPr>
          <w:szCs w:val="20"/>
        </w:rPr>
        <w:t xml:space="preserve">udělená pokuta, </w:t>
      </w:r>
      <w:r w:rsidR="00D7644C">
        <w:rPr>
          <w:szCs w:val="20"/>
        </w:rPr>
        <w:t xml:space="preserve">typicky </w:t>
      </w:r>
      <w:r w:rsidR="007C139C">
        <w:rPr>
          <w:szCs w:val="20"/>
        </w:rPr>
        <w:t xml:space="preserve">předchází </w:t>
      </w:r>
      <w:r w:rsidR="00D7644C">
        <w:rPr>
          <w:szCs w:val="20"/>
        </w:rPr>
        <w:t>kontrola.</w:t>
      </w:r>
      <w:r w:rsidR="002D293D">
        <w:rPr>
          <w:szCs w:val="20"/>
        </w:rPr>
        <w:t xml:space="preserve"> V průběhu loňského roku ERÚ přijal přes 300 podání k</w:t>
      </w:r>
      <w:r w:rsidR="00E84134">
        <w:rPr>
          <w:szCs w:val="20"/>
        </w:rPr>
        <w:t> </w:t>
      </w:r>
      <w:r w:rsidR="002D293D">
        <w:rPr>
          <w:szCs w:val="20"/>
        </w:rPr>
        <w:t>zahájení</w:t>
      </w:r>
      <w:r w:rsidR="00E84134">
        <w:rPr>
          <w:szCs w:val="20"/>
        </w:rPr>
        <w:t xml:space="preserve"> </w:t>
      </w:r>
      <w:r w:rsidR="002D293D">
        <w:rPr>
          <w:szCs w:val="20"/>
        </w:rPr>
        <w:t>kontroly</w:t>
      </w:r>
      <w:r w:rsidR="009A78AA">
        <w:rPr>
          <w:szCs w:val="20"/>
        </w:rPr>
        <w:t xml:space="preserve"> ve „spotřebitelské“ oblasti</w:t>
      </w:r>
      <w:r w:rsidR="007E57D7">
        <w:rPr>
          <w:szCs w:val="20"/>
        </w:rPr>
        <w:t>. O </w:t>
      </w:r>
      <w:r w:rsidR="004E7AF9">
        <w:rPr>
          <w:szCs w:val="20"/>
        </w:rPr>
        <w:t>pomoc úřadu</w:t>
      </w:r>
      <w:r w:rsidR="007E57D7">
        <w:rPr>
          <w:szCs w:val="20"/>
        </w:rPr>
        <w:t xml:space="preserve"> žádá stále </w:t>
      </w:r>
      <w:r w:rsidR="009A78AA">
        <w:rPr>
          <w:szCs w:val="20"/>
        </w:rPr>
        <w:t xml:space="preserve">mnoho </w:t>
      </w:r>
      <w:r w:rsidR="007E57D7">
        <w:rPr>
          <w:szCs w:val="20"/>
        </w:rPr>
        <w:t>spotřebitelů, a protože to není bezdůvodn</w:t>
      </w:r>
      <w:r w:rsidR="009A78AA">
        <w:rPr>
          <w:szCs w:val="20"/>
        </w:rPr>
        <w:t>é</w:t>
      </w:r>
      <w:r w:rsidR="007E57D7">
        <w:rPr>
          <w:szCs w:val="20"/>
        </w:rPr>
        <w:t xml:space="preserve">, o </w:t>
      </w:r>
      <w:r w:rsidR="00D7644C">
        <w:rPr>
          <w:szCs w:val="20"/>
        </w:rPr>
        <w:t>sankce pravděpodobně nebude nouze ani v tomto roce.</w:t>
      </w:r>
      <w:r w:rsidR="00AA09C1">
        <w:rPr>
          <w:szCs w:val="20"/>
        </w:rPr>
        <w:t xml:space="preserve"> </w:t>
      </w:r>
    </w:p>
    <w:p w14:paraId="226B8B30" w14:textId="3FE09865" w:rsidR="00437185" w:rsidRDefault="009A78AA" w:rsidP="006F76EA">
      <w:pPr>
        <w:spacing w:after="180"/>
        <w:jc w:val="both"/>
        <w:rPr>
          <w:szCs w:val="20"/>
        </w:rPr>
      </w:pPr>
      <w:r>
        <w:rPr>
          <w:i/>
          <w:iCs/>
          <w:szCs w:val="20"/>
        </w:rPr>
        <w:t>„Nejde pouze o pokuty</w:t>
      </w:r>
      <w:r w:rsidR="004E7AF9">
        <w:rPr>
          <w:i/>
          <w:iCs/>
          <w:szCs w:val="20"/>
        </w:rPr>
        <w:t>.</w:t>
      </w:r>
      <w:r>
        <w:rPr>
          <w:i/>
          <w:iCs/>
          <w:szCs w:val="20"/>
        </w:rPr>
        <w:t xml:space="preserve"> </w:t>
      </w:r>
      <w:r w:rsidR="004E7AF9">
        <w:rPr>
          <w:i/>
          <w:iCs/>
          <w:szCs w:val="20"/>
        </w:rPr>
        <w:t>S</w:t>
      </w:r>
      <w:r>
        <w:rPr>
          <w:i/>
          <w:iCs/>
          <w:szCs w:val="20"/>
        </w:rPr>
        <w:t xml:space="preserve">polečnosti ELGAS </w:t>
      </w:r>
      <w:proofErr w:type="spellStart"/>
      <w:r>
        <w:rPr>
          <w:i/>
          <w:iCs/>
          <w:szCs w:val="20"/>
        </w:rPr>
        <w:t>Energy</w:t>
      </w:r>
      <w:proofErr w:type="spellEnd"/>
      <w:r w:rsidR="004E7AF9">
        <w:rPr>
          <w:i/>
          <w:iCs/>
          <w:szCs w:val="20"/>
        </w:rPr>
        <w:t>, která od nás dostala</w:t>
      </w:r>
      <w:r>
        <w:rPr>
          <w:i/>
          <w:iCs/>
          <w:szCs w:val="20"/>
        </w:rPr>
        <w:t xml:space="preserve"> nejvyšší šestimilionovou individuální sankc</w:t>
      </w:r>
      <w:r w:rsidR="004E7AF9">
        <w:rPr>
          <w:i/>
          <w:iCs/>
          <w:szCs w:val="20"/>
        </w:rPr>
        <w:t>i</w:t>
      </w:r>
      <w:r>
        <w:rPr>
          <w:i/>
          <w:iCs/>
          <w:szCs w:val="20"/>
        </w:rPr>
        <w:t>, jsme zároveň</w:t>
      </w:r>
      <w:r w:rsidR="007A6991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zrušili licenc</w:t>
      </w:r>
      <w:r w:rsidR="007A6991">
        <w:rPr>
          <w:i/>
          <w:iCs/>
          <w:szCs w:val="20"/>
        </w:rPr>
        <w:t>i</w:t>
      </w:r>
      <w:r w:rsidR="004E7AF9">
        <w:rPr>
          <w:i/>
          <w:iCs/>
          <w:szCs w:val="20"/>
        </w:rPr>
        <w:t>. Z</w:t>
      </w:r>
      <w:r>
        <w:rPr>
          <w:i/>
          <w:iCs/>
          <w:szCs w:val="20"/>
        </w:rPr>
        <w:t xml:space="preserve"> energetického trhu </w:t>
      </w:r>
      <w:r w:rsidR="004E7AF9">
        <w:rPr>
          <w:i/>
          <w:iCs/>
          <w:szCs w:val="20"/>
        </w:rPr>
        <w:t xml:space="preserve">tak </w:t>
      </w:r>
      <w:r>
        <w:rPr>
          <w:i/>
          <w:iCs/>
          <w:szCs w:val="20"/>
        </w:rPr>
        <w:t>musela odejít úplně,“</w:t>
      </w:r>
      <w:r w:rsidRPr="009A78AA">
        <w:rPr>
          <w:szCs w:val="20"/>
        </w:rPr>
        <w:t xml:space="preserve"> </w:t>
      </w:r>
      <w:r>
        <w:rPr>
          <w:szCs w:val="20"/>
        </w:rPr>
        <w:t xml:space="preserve">říká </w:t>
      </w:r>
      <w:r w:rsidRPr="00982205">
        <w:rPr>
          <w:b/>
          <w:bCs/>
          <w:szCs w:val="20"/>
        </w:rPr>
        <w:t>Markéta Zemanová, členka Rady ERÚ</w:t>
      </w:r>
      <w:r w:rsidR="00E84134" w:rsidRPr="00E84134">
        <w:rPr>
          <w:szCs w:val="20"/>
        </w:rPr>
        <w:t>,</w:t>
      </w:r>
      <w:r w:rsidRPr="00E84134">
        <w:rPr>
          <w:i/>
          <w:iCs/>
          <w:szCs w:val="20"/>
        </w:rPr>
        <w:t xml:space="preserve"> </w:t>
      </w:r>
      <w:r w:rsidR="007A6991">
        <w:rPr>
          <w:i/>
          <w:iCs/>
          <w:szCs w:val="20"/>
        </w:rPr>
        <w:t>a dodává</w:t>
      </w:r>
      <w:r w:rsidR="00E84134">
        <w:rPr>
          <w:i/>
          <w:iCs/>
          <w:szCs w:val="20"/>
        </w:rPr>
        <w:t>:</w:t>
      </w:r>
      <w:r w:rsidR="007A6991">
        <w:rPr>
          <w:i/>
          <w:iCs/>
          <w:szCs w:val="20"/>
        </w:rPr>
        <w:t xml:space="preserve"> </w:t>
      </w:r>
      <w:r w:rsidR="00437185" w:rsidRPr="00982205">
        <w:rPr>
          <w:i/>
          <w:iCs/>
          <w:szCs w:val="20"/>
        </w:rPr>
        <w:t>„</w:t>
      </w:r>
      <w:r w:rsidR="00AA09C1">
        <w:rPr>
          <w:i/>
          <w:iCs/>
          <w:szCs w:val="20"/>
        </w:rPr>
        <w:t xml:space="preserve">Po předchozím útlumu </w:t>
      </w:r>
      <w:r w:rsidR="004E7AF9">
        <w:rPr>
          <w:i/>
          <w:iCs/>
          <w:szCs w:val="20"/>
        </w:rPr>
        <w:t xml:space="preserve">navíc </w:t>
      </w:r>
      <w:r w:rsidR="00AA09C1">
        <w:rPr>
          <w:i/>
          <w:iCs/>
          <w:szCs w:val="20"/>
        </w:rPr>
        <w:t xml:space="preserve">začínají </w:t>
      </w:r>
      <w:r w:rsidR="007A6991">
        <w:rPr>
          <w:i/>
          <w:iCs/>
          <w:szCs w:val="20"/>
        </w:rPr>
        <w:t xml:space="preserve">opět útočit </w:t>
      </w:r>
      <w:proofErr w:type="spellStart"/>
      <w:r w:rsidR="00AA09C1">
        <w:rPr>
          <w:i/>
          <w:iCs/>
          <w:szCs w:val="20"/>
        </w:rPr>
        <w:t>energošmejdi</w:t>
      </w:r>
      <w:proofErr w:type="spellEnd"/>
      <w:r w:rsidR="00AA09C1">
        <w:rPr>
          <w:i/>
          <w:iCs/>
          <w:szCs w:val="20"/>
        </w:rPr>
        <w:t xml:space="preserve"> </w:t>
      </w:r>
      <w:r w:rsidR="004E7AF9">
        <w:rPr>
          <w:i/>
          <w:iCs/>
          <w:szCs w:val="20"/>
        </w:rPr>
        <w:t xml:space="preserve">z řad </w:t>
      </w:r>
      <w:r w:rsidR="00E84134">
        <w:rPr>
          <w:i/>
          <w:iCs/>
          <w:szCs w:val="20"/>
        </w:rPr>
        <w:t>z</w:t>
      </w:r>
      <w:r w:rsidR="004E7AF9">
        <w:rPr>
          <w:i/>
          <w:iCs/>
          <w:szCs w:val="20"/>
        </w:rPr>
        <w:t xml:space="preserve">prostředkovatelů </w:t>
      </w:r>
      <w:r w:rsidR="00AA09C1">
        <w:rPr>
          <w:i/>
          <w:iCs/>
          <w:szCs w:val="20"/>
        </w:rPr>
        <w:t xml:space="preserve">a znovu dokazují, že si své pojmenování </w:t>
      </w:r>
      <w:r w:rsidR="00E84134">
        <w:rPr>
          <w:i/>
          <w:iCs/>
          <w:szCs w:val="20"/>
        </w:rPr>
        <w:t xml:space="preserve">opravdu </w:t>
      </w:r>
      <w:r w:rsidR="00AA09C1">
        <w:rPr>
          <w:i/>
          <w:iCs/>
          <w:szCs w:val="20"/>
        </w:rPr>
        <w:t>zaslouží</w:t>
      </w:r>
      <w:r w:rsidR="005B0EF4">
        <w:rPr>
          <w:i/>
          <w:iCs/>
          <w:szCs w:val="20"/>
        </w:rPr>
        <w:t>.</w:t>
      </w:r>
      <w:r w:rsidR="00AA09C1">
        <w:rPr>
          <w:i/>
          <w:iCs/>
          <w:szCs w:val="20"/>
        </w:rPr>
        <w:t xml:space="preserve"> Každá čtvrtá zahajovaná </w:t>
      </w:r>
      <w:r w:rsidR="006825C2">
        <w:rPr>
          <w:i/>
          <w:iCs/>
          <w:szCs w:val="20"/>
        </w:rPr>
        <w:t xml:space="preserve">spotřebitelská </w:t>
      </w:r>
      <w:r w:rsidR="00AA09C1">
        <w:rPr>
          <w:i/>
          <w:iCs/>
          <w:szCs w:val="20"/>
        </w:rPr>
        <w:t xml:space="preserve">kontrola se </w:t>
      </w:r>
      <w:r w:rsidR="00EA1384">
        <w:rPr>
          <w:i/>
          <w:iCs/>
          <w:szCs w:val="20"/>
        </w:rPr>
        <w:t xml:space="preserve">loni </w:t>
      </w:r>
      <w:r w:rsidR="00AA09C1">
        <w:rPr>
          <w:i/>
          <w:iCs/>
          <w:szCs w:val="20"/>
        </w:rPr>
        <w:t>soustřed</w:t>
      </w:r>
      <w:r w:rsidR="00EA1384">
        <w:rPr>
          <w:i/>
          <w:iCs/>
          <w:szCs w:val="20"/>
        </w:rPr>
        <w:t>ila</w:t>
      </w:r>
      <w:r w:rsidR="00AA09C1">
        <w:rPr>
          <w:i/>
          <w:iCs/>
          <w:szCs w:val="20"/>
        </w:rPr>
        <w:t xml:space="preserve"> právě na chování </w:t>
      </w:r>
      <w:r w:rsidR="0068633B">
        <w:rPr>
          <w:i/>
          <w:iCs/>
          <w:szCs w:val="20"/>
        </w:rPr>
        <w:t xml:space="preserve">zprostředkovatelů. </w:t>
      </w:r>
      <w:r w:rsidR="00EA1384">
        <w:rPr>
          <w:i/>
          <w:iCs/>
          <w:szCs w:val="20"/>
        </w:rPr>
        <w:t xml:space="preserve">Ti </w:t>
      </w:r>
      <w:r w:rsidR="00E84134">
        <w:rPr>
          <w:i/>
          <w:iCs/>
          <w:szCs w:val="20"/>
        </w:rPr>
        <w:t>lidem</w:t>
      </w:r>
      <w:r w:rsidR="006825C2">
        <w:rPr>
          <w:i/>
          <w:iCs/>
          <w:szCs w:val="20"/>
        </w:rPr>
        <w:t>, často bez registrace</w:t>
      </w:r>
      <w:r w:rsidR="00E84134">
        <w:rPr>
          <w:i/>
          <w:iCs/>
          <w:szCs w:val="20"/>
        </w:rPr>
        <w:t xml:space="preserve"> a</w:t>
      </w:r>
      <w:r w:rsidR="006957FD">
        <w:rPr>
          <w:i/>
          <w:iCs/>
          <w:szCs w:val="20"/>
        </w:rPr>
        <w:t xml:space="preserve"> </w:t>
      </w:r>
      <w:r w:rsidR="00EA1384">
        <w:rPr>
          <w:i/>
          <w:iCs/>
          <w:szCs w:val="20"/>
        </w:rPr>
        <w:t>pod falešnými záminkami</w:t>
      </w:r>
      <w:r w:rsidR="00E84134">
        <w:rPr>
          <w:i/>
          <w:iCs/>
          <w:szCs w:val="20"/>
        </w:rPr>
        <w:t xml:space="preserve">, </w:t>
      </w:r>
      <w:r w:rsidR="00EA1384">
        <w:rPr>
          <w:i/>
          <w:iCs/>
          <w:szCs w:val="20"/>
        </w:rPr>
        <w:t>podstrkují k podpisu smlouvy</w:t>
      </w:r>
      <w:r w:rsidR="006957FD">
        <w:rPr>
          <w:i/>
          <w:iCs/>
          <w:szCs w:val="20"/>
        </w:rPr>
        <w:t xml:space="preserve"> </w:t>
      </w:r>
      <w:r w:rsidR="007A6991">
        <w:rPr>
          <w:i/>
          <w:iCs/>
          <w:szCs w:val="20"/>
        </w:rPr>
        <w:t xml:space="preserve">či </w:t>
      </w:r>
      <w:r w:rsidR="006957FD">
        <w:rPr>
          <w:i/>
          <w:iCs/>
          <w:szCs w:val="20"/>
        </w:rPr>
        <w:t>plné moci</w:t>
      </w:r>
      <w:r w:rsidR="00E84134">
        <w:rPr>
          <w:i/>
          <w:iCs/>
          <w:szCs w:val="20"/>
        </w:rPr>
        <w:t>. N</w:t>
      </w:r>
      <w:r w:rsidR="00EA1384">
        <w:rPr>
          <w:i/>
          <w:iCs/>
          <w:szCs w:val="20"/>
        </w:rPr>
        <w:t>ezdráhají se</w:t>
      </w:r>
      <w:r w:rsidR="00E84134">
        <w:rPr>
          <w:i/>
          <w:iCs/>
          <w:szCs w:val="20"/>
        </w:rPr>
        <w:t xml:space="preserve"> při tom</w:t>
      </w:r>
      <w:r w:rsidR="00EA1384">
        <w:rPr>
          <w:i/>
          <w:iCs/>
          <w:szCs w:val="20"/>
        </w:rPr>
        <w:t xml:space="preserve"> vydávat</w:t>
      </w:r>
      <w:r w:rsidR="00E84134">
        <w:rPr>
          <w:i/>
          <w:iCs/>
          <w:szCs w:val="20"/>
        </w:rPr>
        <w:t xml:space="preserve"> ani</w:t>
      </w:r>
      <w:r w:rsidR="00EA1384">
        <w:rPr>
          <w:i/>
          <w:iCs/>
          <w:szCs w:val="20"/>
        </w:rPr>
        <w:t xml:space="preserve"> za jmenovce či vzdálené příbuzné svých obětí</w:t>
      </w:r>
      <w:r w:rsidR="00E84134">
        <w:rPr>
          <w:i/>
          <w:iCs/>
          <w:szCs w:val="20"/>
        </w:rPr>
        <w:t>.</w:t>
      </w:r>
      <w:r w:rsidR="00437185" w:rsidRPr="00982205">
        <w:rPr>
          <w:i/>
          <w:iCs/>
          <w:szCs w:val="20"/>
        </w:rPr>
        <w:t>“</w:t>
      </w:r>
      <w:r w:rsidR="00437185">
        <w:rPr>
          <w:szCs w:val="20"/>
        </w:rPr>
        <w:t xml:space="preserve"> </w:t>
      </w:r>
    </w:p>
    <w:p w14:paraId="7B05907B" w14:textId="6230B58A" w:rsidR="00856776" w:rsidRPr="00CC7906" w:rsidRDefault="00997B63" w:rsidP="006F76EA">
      <w:pPr>
        <w:spacing w:after="180"/>
        <w:jc w:val="both"/>
        <w:rPr>
          <w:szCs w:val="20"/>
        </w:rPr>
      </w:pPr>
      <w:r>
        <w:rPr>
          <w:szCs w:val="20"/>
        </w:rPr>
        <w:t xml:space="preserve">Kromě represe vůči nepoctivým aktérům trhu ERÚ pomáhá spotřebitelům při řešení jejich konkrétní situace (podrobněji </w:t>
      </w:r>
      <w:hyperlink r:id="rId13" w:history="1">
        <w:r w:rsidRPr="00997B63">
          <w:rPr>
            <w:rStyle w:val="Hypertextovodkaz"/>
            <w:szCs w:val="20"/>
          </w:rPr>
          <w:t>v tiskové zprávě k podáním a spotřebitelským sporům</w:t>
        </w:r>
      </w:hyperlink>
      <w:r>
        <w:rPr>
          <w:szCs w:val="20"/>
        </w:rPr>
        <w:t>). Úřad rovněž</w:t>
      </w:r>
      <w:r w:rsidR="00196C0C">
        <w:rPr>
          <w:szCs w:val="20"/>
        </w:rPr>
        <w:t xml:space="preserve"> klade</w:t>
      </w:r>
      <w:r>
        <w:rPr>
          <w:szCs w:val="20"/>
        </w:rPr>
        <w:t xml:space="preserve"> velký důraz na osvětovou činnost a pomoc při hledání výhodných nabídek na trhu, k čemuž lze využít </w:t>
      </w:r>
      <w:hyperlink r:id="rId14" w:history="1">
        <w:r w:rsidRPr="00997B63">
          <w:rPr>
            <w:rStyle w:val="Hypertextovodkaz"/>
            <w:szCs w:val="20"/>
          </w:rPr>
          <w:t>srovnávač</w:t>
        </w:r>
      </w:hyperlink>
      <w:r>
        <w:rPr>
          <w:szCs w:val="20"/>
        </w:rPr>
        <w:t xml:space="preserve"> na jeho webu. </w:t>
      </w:r>
    </w:p>
    <w:sectPr w:rsidR="00856776" w:rsidRPr="00CC7906" w:rsidSect="00CC7906">
      <w:headerReference w:type="default" r:id="rId15"/>
      <w:footerReference w:type="default" r:id="rId16"/>
      <w:type w:val="continuous"/>
      <w:pgSz w:w="11906" w:h="16838" w:code="9"/>
      <w:pgMar w:top="567" w:right="1361" w:bottom="567" w:left="1474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ACAF" w14:textId="77777777" w:rsidR="00E93DB6" w:rsidRDefault="00E93DB6" w:rsidP="006928DE">
      <w:pPr>
        <w:spacing w:after="0" w:line="240" w:lineRule="auto"/>
      </w:pPr>
      <w:r>
        <w:separator/>
      </w:r>
    </w:p>
    <w:p w14:paraId="215B8F91" w14:textId="77777777" w:rsidR="00E93DB6" w:rsidRDefault="00E93DB6"/>
  </w:endnote>
  <w:endnote w:type="continuationSeparator" w:id="0">
    <w:p w14:paraId="0E3C3CE3" w14:textId="77777777" w:rsidR="00E93DB6" w:rsidRDefault="00E93DB6" w:rsidP="006928DE">
      <w:pPr>
        <w:spacing w:after="0" w:line="240" w:lineRule="auto"/>
      </w:pPr>
      <w:r>
        <w:continuationSeparator/>
      </w:r>
    </w:p>
    <w:p w14:paraId="37F87914" w14:textId="77777777" w:rsidR="00E93DB6" w:rsidRDefault="00E9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CC67" w14:textId="77777777" w:rsidR="00404D67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="001252D3" w:rsidRPr="001252D3">
      <w:rPr>
        <w:rFonts w:asciiTheme="minorHAnsi" w:hAnsiTheme="minorHAnsi" w:cstheme="minorHAnsi"/>
        <w:b/>
        <w:color w:val="00459D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Jan Hamrník</w:t>
    </w:r>
  </w:p>
  <w:p w14:paraId="354E7C7C" w14:textId="77777777" w:rsidR="001252D3" w:rsidRPr="00707A20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1F0A7EA2" w14:textId="77777777" w:rsidR="001252D3" w:rsidRPr="001252D3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70A8E1AB" w14:textId="77777777" w:rsidR="001252D3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color w:val="auto"/>
        <w:sz w:val="16"/>
        <w:szCs w:val="16"/>
      </w:rPr>
      <w:t>666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19E64EA4" w14:textId="77777777" w:rsidR="00404D67" w:rsidRPr="00D67EE8" w:rsidRDefault="00707A20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="001252D3"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="001252D3"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5058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6096"/>
        <w:tab w:val="left" w:pos="7371"/>
        <w:tab w:val="left" w:pos="8789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ab/>
      <w:t>Jan Hamrník</w:t>
    </w:r>
  </w:p>
  <w:p w14:paraId="1DE8EC8E" w14:textId="77777777" w:rsid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+420 724 060</w:t>
    </w:r>
    <w:r>
      <w:rPr>
        <w:rFonts w:asciiTheme="minorHAnsi" w:hAnsiTheme="minorHAnsi" w:cstheme="minorHAnsi"/>
        <w:b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790</w:t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+420 724 454 791</w:t>
    </w:r>
  </w:p>
  <w:p w14:paraId="0BC7B9FD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0836D8F2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+420 564 578 666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3B2D7652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  <w:p w14:paraId="5A210509" w14:textId="77777777" w:rsidR="00D61AE1" w:rsidRP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200"/>
    </w:pPr>
    <w:r w:rsidRPr="00D67EE8">
      <w:rPr>
        <w:rFonts w:asciiTheme="minorHAnsi" w:hAnsiTheme="minorHAnsi" w:cstheme="minorHAnsi"/>
        <w:b/>
        <w:color w:val="00459D"/>
        <w:sz w:val="20"/>
        <w:szCs w:val="20"/>
      </w:rPr>
      <w:t>eru.gov.cz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6BEC" w14:textId="77777777" w:rsidR="00E93DB6" w:rsidRDefault="00E93DB6" w:rsidP="006928DE">
      <w:pPr>
        <w:spacing w:after="0" w:line="240" w:lineRule="auto"/>
      </w:pPr>
      <w:r>
        <w:separator/>
      </w:r>
    </w:p>
    <w:p w14:paraId="4615087D" w14:textId="77777777" w:rsidR="00E93DB6" w:rsidRDefault="00E93DB6"/>
  </w:footnote>
  <w:footnote w:type="continuationSeparator" w:id="0">
    <w:p w14:paraId="290509D9" w14:textId="77777777" w:rsidR="00E93DB6" w:rsidRDefault="00E93DB6" w:rsidP="006928DE">
      <w:pPr>
        <w:spacing w:after="0" w:line="240" w:lineRule="auto"/>
      </w:pPr>
      <w:r>
        <w:continuationSeparator/>
      </w:r>
    </w:p>
    <w:p w14:paraId="41579E5A" w14:textId="77777777" w:rsidR="00E93DB6" w:rsidRDefault="00E93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E11C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E81EA" wp14:editId="08CAD989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59" w14:textId="77777777" w:rsidR="002C42C1" w:rsidRPr="00D61AE1" w:rsidRDefault="002C42C1" w:rsidP="00D61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4pt;height:5.9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353048">
    <w:abstractNumId w:val="1"/>
  </w:num>
  <w:num w:numId="2" w16cid:durableId="1772773731">
    <w:abstractNumId w:val="1"/>
  </w:num>
  <w:num w:numId="3" w16cid:durableId="440950597">
    <w:abstractNumId w:val="1"/>
  </w:num>
  <w:num w:numId="4" w16cid:durableId="1057818839">
    <w:abstractNumId w:val="1"/>
  </w:num>
  <w:num w:numId="5" w16cid:durableId="808666786">
    <w:abstractNumId w:val="1"/>
  </w:num>
  <w:num w:numId="6" w16cid:durableId="1912694596">
    <w:abstractNumId w:val="1"/>
  </w:num>
  <w:num w:numId="7" w16cid:durableId="1882940545">
    <w:abstractNumId w:val="0"/>
  </w:num>
  <w:num w:numId="8" w16cid:durableId="104423845">
    <w:abstractNumId w:val="4"/>
  </w:num>
  <w:num w:numId="9" w16cid:durableId="2008559512">
    <w:abstractNumId w:val="6"/>
  </w:num>
  <w:num w:numId="10" w16cid:durableId="1410466961">
    <w:abstractNumId w:val="5"/>
  </w:num>
  <w:num w:numId="11" w16cid:durableId="188376019">
    <w:abstractNumId w:val="3"/>
  </w:num>
  <w:num w:numId="12" w16cid:durableId="4090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34F16"/>
    <w:rsid w:val="00042B20"/>
    <w:rsid w:val="00047AC2"/>
    <w:rsid w:val="000508A5"/>
    <w:rsid w:val="000508BF"/>
    <w:rsid w:val="000571CB"/>
    <w:rsid w:val="000628D5"/>
    <w:rsid w:val="00062A3B"/>
    <w:rsid w:val="000650B6"/>
    <w:rsid w:val="00066179"/>
    <w:rsid w:val="00071182"/>
    <w:rsid w:val="00072105"/>
    <w:rsid w:val="00075E41"/>
    <w:rsid w:val="00085D46"/>
    <w:rsid w:val="000A084F"/>
    <w:rsid w:val="000A28BD"/>
    <w:rsid w:val="000B178E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3E51"/>
    <w:rsid w:val="00114B4B"/>
    <w:rsid w:val="001211F8"/>
    <w:rsid w:val="001252D3"/>
    <w:rsid w:val="001335DD"/>
    <w:rsid w:val="001336B6"/>
    <w:rsid w:val="00136F3D"/>
    <w:rsid w:val="00142183"/>
    <w:rsid w:val="00143C60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96C0C"/>
    <w:rsid w:val="001B0634"/>
    <w:rsid w:val="001B0B3C"/>
    <w:rsid w:val="001B0E86"/>
    <w:rsid w:val="001B2626"/>
    <w:rsid w:val="001B41D0"/>
    <w:rsid w:val="001B5017"/>
    <w:rsid w:val="001B5B5F"/>
    <w:rsid w:val="001C2B90"/>
    <w:rsid w:val="001C2BE8"/>
    <w:rsid w:val="001C4D93"/>
    <w:rsid w:val="001C5CC9"/>
    <w:rsid w:val="001C6B94"/>
    <w:rsid w:val="001D568D"/>
    <w:rsid w:val="001E4267"/>
    <w:rsid w:val="001E6C42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37CE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3216"/>
    <w:rsid w:val="002C42C1"/>
    <w:rsid w:val="002C6EC3"/>
    <w:rsid w:val="002D293D"/>
    <w:rsid w:val="002D63FB"/>
    <w:rsid w:val="002E12A6"/>
    <w:rsid w:val="002E2BEA"/>
    <w:rsid w:val="002F0AB8"/>
    <w:rsid w:val="002F21F3"/>
    <w:rsid w:val="002F245E"/>
    <w:rsid w:val="00300D31"/>
    <w:rsid w:val="003034B9"/>
    <w:rsid w:val="0030742A"/>
    <w:rsid w:val="00310A30"/>
    <w:rsid w:val="003203F3"/>
    <w:rsid w:val="00323B5E"/>
    <w:rsid w:val="00323EDA"/>
    <w:rsid w:val="00324E63"/>
    <w:rsid w:val="00332C3A"/>
    <w:rsid w:val="00334280"/>
    <w:rsid w:val="0033462F"/>
    <w:rsid w:val="00337693"/>
    <w:rsid w:val="00342BB2"/>
    <w:rsid w:val="00346DD6"/>
    <w:rsid w:val="00347A67"/>
    <w:rsid w:val="00350655"/>
    <w:rsid w:val="003521BD"/>
    <w:rsid w:val="0035244C"/>
    <w:rsid w:val="00355AB0"/>
    <w:rsid w:val="0035739A"/>
    <w:rsid w:val="00363661"/>
    <w:rsid w:val="00364DCC"/>
    <w:rsid w:val="00366076"/>
    <w:rsid w:val="00371634"/>
    <w:rsid w:val="00373FE6"/>
    <w:rsid w:val="0039125C"/>
    <w:rsid w:val="00396549"/>
    <w:rsid w:val="003976BB"/>
    <w:rsid w:val="003A6038"/>
    <w:rsid w:val="003B0DAD"/>
    <w:rsid w:val="003B10DB"/>
    <w:rsid w:val="003B18DC"/>
    <w:rsid w:val="003B671C"/>
    <w:rsid w:val="003B79F6"/>
    <w:rsid w:val="003C1370"/>
    <w:rsid w:val="003C59C1"/>
    <w:rsid w:val="003D123E"/>
    <w:rsid w:val="003D3F72"/>
    <w:rsid w:val="003D68A7"/>
    <w:rsid w:val="003D72D7"/>
    <w:rsid w:val="003F00F7"/>
    <w:rsid w:val="003F04A5"/>
    <w:rsid w:val="00404D67"/>
    <w:rsid w:val="004053E5"/>
    <w:rsid w:val="00411947"/>
    <w:rsid w:val="0041575C"/>
    <w:rsid w:val="00415E5E"/>
    <w:rsid w:val="00430781"/>
    <w:rsid w:val="00432954"/>
    <w:rsid w:val="00435680"/>
    <w:rsid w:val="00437185"/>
    <w:rsid w:val="004401AA"/>
    <w:rsid w:val="00441A0B"/>
    <w:rsid w:val="00443715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A0763"/>
    <w:rsid w:val="004A0E44"/>
    <w:rsid w:val="004A3810"/>
    <w:rsid w:val="004A391F"/>
    <w:rsid w:val="004A7CD2"/>
    <w:rsid w:val="004B1789"/>
    <w:rsid w:val="004B5667"/>
    <w:rsid w:val="004C17C1"/>
    <w:rsid w:val="004C2271"/>
    <w:rsid w:val="004C77D9"/>
    <w:rsid w:val="004D1507"/>
    <w:rsid w:val="004D1A6B"/>
    <w:rsid w:val="004D27B7"/>
    <w:rsid w:val="004E7AE6"/>
    <w:rsid w:val="004E7AF9"/>
    <w:rsid w:val="004F3140"/>
    <w:rsid w:val="004F5CD5"/>
    <w:rsid w:val="004F751F"/>
    <w:rsid w:val="005019F6"/>
    <w:rsid w:val="00510576"/>
    <w:rsid w:val="00511193"/>
    <w:rsid w:val="005137D1"/>
    <w:rsid w:val="0052077C"/>
    <w:rsid w:val="005224A9"/>
    <w:rsid w:val="0052318D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72E9"/>
    <w:rsid w:val="00577C99"/>
    <w:rsid w:val="005806CD"/>
    <w:rsid w:val="00581A7E"/>
    <w:rsid w:val="00590B03"/>
    <w:rsid w:val="00591F7E"/>
    <w:rsid w:val="005A51F1"/>
    <w:rsid w:val="005B0EF4"/>
    <w:rsid w:val="005C317E"/>
    <w:rsid w:val="005C6331"/>
    <w:rsid w:val="005D0682"/>
    <w:rsid w:val="005D1E40"/>
    <w:rsid w:val="005D5F4D"/>
    <w:rsid w:val="005D6010"/>
    <w:rsid w:val="005D6096"/>
    <w:rsid w:val="005E7A32"/>
    <w:rsid w:val="005F28CE"/>
    <w:rsid w:val="005F3045"/>
    <w:rsid w:val="005F7BF4"/>
    <w:rsid w:val="00600FA7"/>
    <w:rsid w:val="0061012B"/>
    <w:rsid w:val="006152C3"/>
    <w:rsid w:val="006207F2"/>
    <w:rsid w:val="00622B4E"/>
    <w:rsid w:val="00626B39"/>
    <w:rsid w:val="00641069"/>
    <w:rsid w:val="00647369"/>
    <w:rsid w:val="00653A74"/>
    <w:rsid w:val="006548AF"/>
    <w:rsid w:val="00655B6D"/>
    <w:rsid w:val="00656709"/>
    <w:rsid w:val="006825C2"/>
    <w:rsid w:val="00685617"/>
    <w:rsid w:val="0068633B"/>
    <w:rsid w:val="006928DE"/>
    <w:rsid w:val="006957FD"/>
    <w:rsid w:val="00695C15"/>
    <w:rsid w:val="00696E22"/>
    <w:rsid w:val="006A2F62"/>
    <w:rsid w:val="006A54FA"/>
    <w:rsid w:val="006A7D9E"/>
    <w:rsid w:val="006B5839"/>
    <w:rsid w:val="006C2C22"/>
    <w:rsid w:val="006C306F"/>
    <w:rsid w:val="006C3B5D"/>
    <w:rsid w:val="006C5D01"/>
    <w:rsid w:val="006D34F8"/>
    <w:rsid w:val="006D3FFE"/>
    <w:rsid w:val="006D5FE2"/>
    <w:rsid w:val="006D6216"/>
    <w:rsid w:val="006D6A1E"/>
    <w:rsid w:val="006E71F3"/>
    <w:rsid w:val="006F48B6"/>
    <w:rsid w:val="006F76EA"/>
    <w:rsid w:val="00707A20"/>
    <w:rsid w:val="00707C91"/>
    <w:rsid w:val="0071179F"/>
    <w:rsid w:val="00715FDD"/>
    <w:rsid w:val="00721FB1"/>
    <w:rsid w:val="00722104"/>
    <w:rsid w:val="00722D30"/>
    <w:rsid w:val="00732957"/>
    <w:rsid w:val="00740C0C"/>
    <w:rsid w:val="00743676"/>
    <w:rsid w:val="00743FFD"/>
    <w:rsid w:val="00750A3E"/>
    <w:rsid w:val="00750CB9"/>
    <w:rsid w:val="00760BF7"/>
    <w:rsid w:val="007632F1"/>
    <w:rsid w:val="007644E7"/>
    <w:rsid w:val="00785109"/>
    <w:rsid w:val="007918ED"/>
    <w:rsid w:val="007977DF"/>
    <w:rsid w:val="007A3624"/>
    <w:rsid w:val="007A5FE4"/>
    <w:rsid w:val="007A6991"/>
    <w:rsid w:val="007B178E"/>
    <w:rsid w:val="007C139C"/>
    <w:rsid w:val="007C14BE"/>
    <w:rsid w:val="007C4982"/>
    <w:rsid w:val="007C5374"/>
    <w:rsid w:val="007C6346"/>
    <w:rsid w:val="007C6355"/>
    <w:rsid w:val="007D781F"/>
    <w:rsid w:val="007E0BE4"/>
    <w:rsid w:val="007E49C3"/>
    <w:rsid w:val="007E4A14"/>
    <w:rsid w:val="007E57D7"/>
    <w:rsid w:val="007F5352"/>
    <w:rsid w:val="007F5CA1"/>
    <w:rsid w:val="007F7320"/>
    <w:rsid w:val="007F735B"/>
    <w:rsid w:val="008021A3"/>
    <w:rsid w:val="00804F55"/>
    <w:rsid w:val="00806A75"/>
    <w:rsid w:val="008142BC"/>
    <w:rsid w:val="008150F6"/>
    <w:rsid w:val="00824B9D"/>
    <w:rsid w:val="00832840"/>
    <w:rsid w:val="008407F1"/>
    <w:rsid w:val="00843945"/>
    <w:rsid w:val="008449F1"/>
    <w:rsid w:val="008510ED"/>
    <w:rsid w:val="008565E2"/>
    <w:rsid w:val="00856776"/>
    <w:rsid w:val="008752BD"/>
    <w:rsid w:val="00883CB7"/>
    <w:rsid w:val="00887234"/>
    <w:rsid w:val="00887407"/>
    <w:rsid w:val="00893114"/>
    <w:rsid w:val="00895896"/>
    <w:rsid w:val="008A5083"/>
    <w:rsid w:val="008A5357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21D7"/>
    <w:rsid w:val="0092264C"/>
    <w:rsid w:val="00937E53"/>
    <w:rsid w:val="00941E72"/>
    <w:rsid w:val="009455D9"/>
    <w:rsid w:val="00967198"/>
    <w:rsid w:val="009677FD"/>
    <w:rsid w:val="00967F08"/>
    <w:rsid w:val="009725E7"/>
    <w:rsid w:val="00982205"/>
    <w:rsid w:val="00982CAF"/>
    <w:rsid w:val="00983ADE"/>
    <w:rsid w:val="00985FCB"/>
    <w:rsid w:val="00992336"/>
    <w:rsid w:val="009938A0"/>
    <w:rsid w:val="00996E3A"/>
    <w:rsid w:val="009971AC"/>
    <w:rsid w:val="00997B63"/>
    <w:rsid w:val="009A5ED4"/>
    <w:rsid w:val="009A6B6C"/>
    <w:rsid w:val="009A6EB8"/>
    <w:rsid w:val="009A78AA"/>
    <w:rsid w:val="009B0F19"/>
    <w:rsid w:val="009B7E1F"/>
    <w:rsid w:val="009C1951"/>
    <w:rsid w:val="009C33A8"/>
    <w:rsid w:val="009C7AA4"/>
    <w:rsid w:val="009D1EC7"/>
    <w:rsid w:val="009D6024"/>
    <w:rsid w:val="009E259B"/>
    <w:rsid w:val="009E4FD9"/>
    <w:rsid w:val="009E67FD"/>
    <w:rsid w:val="009F0FAF"/>
    <w:rsid w:val="009F3EE7"/>
    <w:rsid w:val="009F6110"/>
    <w:rsid w:val="009F64B4"/>
    <w:rsid w:val="00A007C7"/>
    <w:rsid w:val="00A06A8B"/>
    <w:rsid w:val="00A115A8"/>
    <w:rsid w:val="00A125A8"/>
    <w:rsid w:val="00A36EF8"/>
    <w:rsid w:val="00A41D44"/>
    <w:rsid w:val="00A4541D"/>
    <w:rsid w:val="00A466E0"/>
    <w:rsid w:val="00A55E42"/>
    <w:rsid w:val="00A579C4"/>
    <w:rsid w:val="00A65443"/>
    <w:rsid w:val="00A66974"/>
    <w:rsid w:val="00A67729"/>
    <w:rsid w:val="00A7133D"/>
    <w:rsid w:val="00A73BA0"/>
    <w:rsid w:val="00A753C0"/>
    <w:rsid w:val="00A83DC3"/>
    <w:rsid w:val="00A83E3E"/>
    <w:rsid w:val="00A90649"/>
    <w:rsid w:val="00A92427"/>
    <w:rsid w:val="00A927BE"/>
    <w:rsid w:val="00A952DD"/>
    <w:rsid w:val="00A97F12"/>
    <w:rsid w:val="00AA09C1"/>
    <w:rsid w:val="00AA557B"/>
    <w:rsid w:val="00AB015F"/>
    <w:rsid w:val="00AB1251"/>
    <w:rsid w:val="00AB31DB"/>
    <w:rsid w:val="00AB5FCF"/>
    <w:rsid w:val="00AC1CB1"/>
    <w:rsid w:val="00AC7773"/>
    <w:rsid w:val="00AD46CB"/>
    <w:rsid w:val="00AD712D"/>
    <w:rsid w:val="00AE1652"/>
    <w:rsid w:val="00AE3974"/>
    <w:rsid w:val="00AF04AA"/>
    <w:rsid w:val="00AF4083"/>
    <w:rsid w:val="00B0005F"/>
    <w:rsid w:val="00B02882"/>
    <w:rsid w:val="00B130C4"/>
    <w:rsid w:val="00B14B69"/>
    <w:rsid w:val="00B15811"/>
    <w:rsid w:val="00B201B2"/>
    <w:rsid w:val="00B26F30"/>
    <w:rsid w:val="00B30F9B"/>
    <w:rsid w:val="00B43E2B"/>
    <w:rsid w:val="00B47C91"/>
    <w:rsid w:val="00B50A58"/>
    <w:rsid w:val="00B52210"/>
    <w:rsid w:val="00B60595"/>
    <w:rsid w:val="00B60AF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A63F0"/>
    <w:rsid w:val="00BB441F"/>
    <w:rsid w:val="00BB4CBA"/>
    <w:rsid w:val="00BB532D"/>
    <w:rsid w:val="00BB55B4"/>
    <w:rsid w:val="00BD3C29"/>
    <w:rsid w:val="00BD47DA"/>
    <w:rsid w:val="00BD646A"/>
    <w:rsid w:val="00BD6C91"/>
    <w:rsid w:val="00BE0667"/>
    <w:rsid w:val="00BE14C6"/>
    <w:rsid w:val="00BE479C"/>
    <w:rsid w:val="00BE6C76"/>
    <w:rsid w:val="00BF47A7"/>
    <w:rsid w:val="00BF757E"/>
    <w:rsid w:val="00BF7DEB"/>
    <w:rsid w:val="00C00F09"/>
    <w:rsid w:val="00C0388C"/>
    <w:rsid w:val="00C06712"/>
    <w:rsid w:val="00C06D90"/>
    <w:rsid w:val="00C15057"/>
    <w:rsid w:val="00C20522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5C16"/>
    <w:rsid w:val="00CC1122"/>
    <w:rsid w:val="00CC4D9F"/>
    <w:rsid w:val="00CC7906"/>
    <w:rsid w:val="00CD2126"/>
    <w:rsid w:val="00CD6214"/>
    <w:rsid w:val="00CD7553"/>
    <w:rsid w:val="00CF2367"/>
    <w:rsid w:val="00CF27D4"/>
    <w:rsid w:val="00CF588E"/>
    <w:rsid w:val="00D151E5"/>
    <w:rsid w:val="00D176C0"/>
    <w:rsid w:val="00D26113"/>
    <w:rsid w:val="00D339D6"/>
    <w:rsid w:val="00D364AA"/>
    <w:rsid w:val="00D4023C"/>
    <w:rsid w:val="00D40733"/>
    <w:rsid w:val="00D42206"/>
    <w:rsid w:val="00D514E4"/>
    <w:rsid w:val="00D52D32"/>
    <w:rsid w:val="00D534C7"/>
    <w:rsid w:val="00D61AE1"/>
    <w:rsid w:val="00D62462"/>
    <w:rsid w:val="00D67EE8"/>
    <w:rsid w:val="00D67FAC"/>
    <w:rsid w:val="00D713A7"/>
    <w:rsid w:val="00D7644C"/>
    <w:rsid w:val="00D80BF2"/>
    <w:rsid w:val="00D8185B"/>
    <w:rsid w:val="00D94B77"/>
    <w:rsid w:val="00DA302C"/>
    <w:rsid w:val="00DA3158"/>
    <w:rsid w:val="00DA386C"/>
    <w:rsid w:val="00DA3E64"/>
    <w:rsid w:val="00DA52F5"/>
    <w:rsid w:val="00DB054C"/>
    <w:rsid w:val="00DB1A8C"/>
    <w:rsid w:val="00DC1880"/>
    <w:rsid w:val="00DC3A03"/>
    <w:rsid w:val="00DC4666"/>
    <w:rsid w:val="00DD1263"/>
    <w:rsid w:val="00DD13D6"/>
    <w:rsid w:val="00DD5290"/>
    <w:rsid w:val="00DD6252"/>
    <w:rsid w:val="00DE6745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39B8"/>
    <w:rsid w:val="00E5491F"/>
    <w:rsid w:val="00E54A42"/>
    <w:rsid w:val="00E57EBD"/>
    <w:rsid w:val="00E60B8F"/>
    <w:rsid w:val="00E60E33"/>
    <w:rsid w:val="00E622EB"/>
    <w:rsid w:val="00E76E8B"/>
    <w:rsid w:val="00E8123B"/>
    <w:rsid w:val="00E82296"/>
    <w:rsid w:val="00E84134"/>
    <w:rsid w:val="00E84F0E"/>
    <w:rsid w:val="00E93DB6"/>
    <w:rsid w:val="00E97C66"/>
    <w:rsid w:val="00EA1384"/>
    <w:rsid w:val="00EA32E1"/>
    <w:rsid w:val="00EB0AA6"/>
    <w:rsid w:val="00EB5CB3"/>
    <w:rsid w:val="00EB7897"/>
    <w:rsid w:val="00EB7A52"/>
    <w:rsid w:val="00EC1DBF"/>
    <w:rsid w:val="00ED1AE9"/>
    <w:rsid w:val="00ED2BD1"/>
    <w:rsid w:val="00EE24ED"/>
    <w:rsid w:val="00EE57CC"/>
    <w:rsid w:val="00EF5A47"/>
    <w:rsid w:val="00EF5ABA"/>
    <w:rsid w:val="00F0060D"/>
    <w:rsid w:val="00F06D79"/>
    <w:rsid w:val="00F10C86"/>
    <w:rsid w:val="00F124CB"/>
    <w:rsid w:val="00F22AD4"/>
    <w:rsid w:val="00F268A0"/>
    <w:rsid w:val="00F30640"/>
    <w:rsid w:val="00F336B5"/>
    <w:rsid w:val="00F33812"/>
    <w:rsid w:val="00F4225E"/>
    <w:rsid w:val="00F6270A"/>
    <w:rsid w:val="00F72346"/>
    <w:rsid w:val="00F73427"/>
    <w:rsid w:val="00F84168"/>
    <w:rsid w:val="00F86961"/>
    <w:rsid w:val="00F876CA"/>
    <w:rsid w:val="00F878B2"/>
    <w:rsid w:val="00F93C69"/>
    <w:rsid w:val="00FA024A"/>
    <w:rsid w:val="00FB3208"/>
    <w:rsid w:val="00FB3675"/>
    <w:rsid w:val="00FB6439"/>
    <w:rsid w:val="00FC37F2"/>
    <w:rsid w:val="00FC54E6"/>
    <w:rsid w:val="00FD0140"/>
    <w:rsid w:val="00FD1338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4972"/>
  <w15:docId w15:val="{741F8D48-B2C4-48A9-87D4-9C2B2C9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2C3216"/>
  </w:style>
  <w:style w:type="character" w:styleId="Sledovanodkaz">
    <w:name w:val="FollowedHyperlink"/>
    <w:basedOn w:val="Standardnpsmoodstavce"/>
    <w:uiPriority w:val="99"/>
    <w:semiHidden/>
    <w:unhideWhenUsed/>
    <w:rsid w:val="00A06A8B"/>
    <w:rPr>
      <w:color w:val="E02C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eru-loni-se-spotrebiteli-resil-hlavne-problemy-s-vyuctovanim-preplatky-radili-energosmejd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rovnavac.eru.g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10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dc:description/>
  <cp:lastModifiedBy>Hamrník Jan Mgr.</cp:lastModifiedBy>
  <cp:revision>4</cp:revision>
  <cp:lastPrinted>2026-01-20T09:28:00Z</cp:lastPrinted>
  <dcterms:created xsi:type="dcterms:W3CDTF">2026-02-19T14:04:00Z</dcterms:created>
  <dcterms:modified xsi:type="dcterms:W3CDTF">2026-02-23T06:44:00Z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