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DC03" w14:textId="701CE6DA" w:rsidR="008510ED" w:rsidRPr="00E82296" w:rsidRDefault="00FD3BE0" w:rsidP="00E82296">
      <w:pPr>
        <w:pStyle w:val="NadpisX"/>
      </w:pPr>
      <w:r>
        <w:t xml:space="preserve">Spotřeba </w:t>
      </w:r>
      <w:r w:rsidR="00D3400E">
        <w:t xml:space="preserve">energií </w:t>
      </w:r>
      <w:r>
        <w:t xml:space="preserve">v roce 2025 vzrostla </w:t>
      </w:r>
    </w:p>
    <w:p w14:paraId="17BF3D5A" w14:textId="4DEB76B6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2C228A" w:rsidRPr="002C228A">
        <w:rPr>
          <w:szCs w:val="20"/>
          <w:lang w:eastAsia="en-US"/>
        </w:rPr>
        <w:t>18</w:t>
      </w:r>
      <w:r w:rsidRPr="002C228A">
        <w:rPr>
          <w:szCs w:val="20"/>
          <w:lang w:eastAsia="en-US"/>
        </w:rPr>
        <w:t>.</w:t>
      </w:r>
      <w:r w:rsidR="00D42206">
        <w:rPr>
          <w:szCs w:val="20"/>
          <w:lang w:eastAsia="en-US"/>
        </w:rPr>
        <w:t>2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57EA1127" w14:textId="61E52F76" w:rsidR="000705E5" w:rsidRDefault="00C06CC4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>V roce 2025 stoupla spotřeba e</w:t>
      </w:r>
      <w:r w:rsidR="00D3400E">
        <w:rPr>
          <w:b/>
          <w:i/>
          <w:szCs w:val="20"/>
        </w:rPr>
        <w:t>lektřiny, plynu i tepla</w:t>
      </w:r>
      <w:r>
        <w:rPr>
          <w:b/>
          <w:i/>
          <w:szCs w:val="20"/>
        </w:rPr>
        <w:t xml:space="preserve">, </w:t>
      </w:r>
      <w:r w:rsidR="00D3400E">
        <w:rPr>
          <w:b/>
          <w:i/>
          <w:szCs w:val="20"/>
        </w:rPr>
        <w:t xml:space="preserve">z toho </w:t>
      </w:r>
      <w:r>
        <w:rPr>
          <w:b/>
          <w:i/>
          <w:szCs w:val="20"/>
        </w:rPr>
        <w:t xml:space="preserve">největší meziroční nárůst Energetický regulační úřad (ERÚ) zaznamenal u plynu. Také výroba elektřiny se loni zvýšila a Česko zůstalo jejím čistým exportérem. Rostla výroba tepla ze zemního plynu a biomasy. </w:t>
      </w:r>
    </w:p>
    <w:p w14:paraId="325F6234" w14:textId="7FB24B28" w:rsidR="00FD3BE0" w:rsidRPr="00D3434A" w:rsidRDefault="000705E5" w:rsidP="00017405">
      <w:pPr>
        <w:spacing w:after="240"/>
        <w:jc w:val="both"/>
        <w:rPr>
          <w:bCs/>
          <w:iCs/>
          <w:szCs w:val="20"/>
        </w:rPr>
      </w:pPr>
      <w:r w:rsidRPr="00576E05">
        <w:rPr>
          <w:bCs/>
          <w:i/>
          <w:szCs w:val="20"/>
        </w:rPr>
        <w:t>„Po</w:t>
      </w:r>
      <w:r w:rsidR="00C06CC4" w:rsidRPr="00576E05">
        <w:rPr>
          <w:bCs/>
          <w:i/>
          <w:szCs w:val="20"/>
        </w:rPr>
        <w:t xml:space="preserve">té, co se v roce 2024 zastavil </w:t>
      </w:r>
      <w:r w:rsidR="00D34002">
        <w:rPr>
          <w:bCs/>
          <w:i/>
          <w:szCs w:val="20"/>
        </w:rPr>
        <w:t>několik let trvající</w:t>
      </w:r>
      <w:r w:rsidR="00D34002" w:rsidRPr="00576E05">
        <w:rPr>
          <w:bCs/>
          <w:i/>
          <w:szCs w:val="20"/>
        </w:rPr>
        <w:t xml:space="preserve"> </w:t>
      </w:r>
      <w:r w:rsidR="00C06CC4" w:rsidRPr="00576E05">
        <w:rPr>
          <w:bCs/>
          <w:i/>
          <w:szCs w:val="20"/>
        </w:rPr>
        <w:t>pokles spotřeby energi</w:t>
      </w:r>
      <w:r w:rsidR="00D34002">
        <w:rPr>
          <w:bCs/>
          <w:i/>
          <w:szCs w:val="20"/>
        </w:rPr>
        <w:t>í</w:t>
      </w:r>
      <w:r w:rsidR="00C06CC4" w:rsidRPr="00576E05">
        <w:rPr>
          <w:bCs/>
          <w:i/>
          <w:szCs w:val="20"/>
        </w:rPr>
        <w:t xml:space="preserve">, </w:t>
      </w:r>
      <w:r w:rsidR="00D3400E" w:rsidRPr="00576E05">
        <w:rPr>
          <w:bCs/>
          <w:i/>
          <w:szCs w:val="20"/>
        </w:rPr>
        <w:t>loni</w:t>
      </w:r>
      <w:r w:rsidR="00D3400E" w:rsidRPr="00576E05">
        <w:rPr>
          <w:bCs/>
          <w:i/>
          <w:szCs w:val="20"/>
        </w:rPr>
        <w:t xml:space="preserve"> </w:t>
      </w:r>
      <w:r w:rsidRPr="00576E05">
        <w:rPr>
          <w:bCs/>
          <w:i/>
          <w:szCs w:val="20"/>
        </w:rPr>
        <w:t xml:space="preserve">nastal její nárůst. </w:t>
      </w:r>
      <w:r w:rsidR="00576E05" w:rsidRPr="00576E05">
        <w:rPr>
          <w:bCs/>
          <w:i/>
          <w:szCs w:val="20"/>
        </w:rPr>
        <w:t xml:space="preserve">Spotřeba </w:t>
      </w:r>
      <w:r w:rsidR="00D3400E">
        <w:rPr>
          <w:bCs/>
          <w:i/>
          <w:szCs w:val="20"/>
        </w:rPr>
        <w:t xml:space="preserve">v loňském roce </w:t>
      </w:r>
      <w:r w:rsidR="00576E05" w:rsidRPr="00576E05">
        <w:rPr>
          <w:bCs/>
          <w:i/>
          <w:szCs w:val="20"/>
        </w:rPr>
        <w:t>rostla v řádu procent u elektřiny, plynu i tepla</w:t>
      </w:r>
      <w:r w:rsidR="00576E05" w:rsidRPr="00D3434A">
        <w:rPr>
          <w:bCs/>
          <w:iCs/>
          <w:szCs w:val="20"/>
        </w:rPr>
        <w:t xml:space="preserve">. </w:t>
      </w:r>
      <w:r w:rsidR="00576E05" w:rsidRPr="00D3434A">
        <w:rPr>
          <w:bCs/>
          <w:i/>
          <w:szCs w:val="20"/>
        </w:rPr>
        <w:t xml:space="preserve">Růst táhli zejména menší odběratelé z řad domácností </w:t>
      </w:r>
      <w:r w:rsidR="00D3400E">
        <w:rPr>
          <w:bCs/>
          <w:i/>
          <w:szCs w:val="20"/>
        </w:rPr>
        <w:t>a</w:t>
      </w:r>
      <w:r w:rsidR="00576E05" w:rsidRPr="00D3434A">
        <w:rPr>
          <w:bCs/>
          <w:i/>
          <w:szCs w:val="20"/>
        </w:rPr>
        <w:t xml:space="preserve"> </w:t>
      </w:r>
      <w:r w:rsidR="00D3400E">
        <w:rPr>
          <w:bCs/>
          <w:i/>
          <w:szCs w:val="20"/>
        </w:rPr>
        <w:t xml:space="preserve">malých </w:t>
      </w:r>
      <w:r w:rsidR="00576E05" w:rsidRPr="00D3434A">
        <w:rPr>
          <w:bCs/>
          <w:i/>
          <w:szCs w:val="20"/>
        </w:rPr>
        <w:t xml:space="preserve">podnikatelů. </w:t>
      </w:r>
      <w:r w:rsidR="00D3400E" w:rsidRPr="00D3434A">
        <w:rPr>
          <w:bCs/>
          <w:i/>
          <w:szCs w:val="20"/>
        </w:rPr>
        <w:t>Vliv měly j</w:t>
      </w:r>
      <w:r w:rsidR="00D3400E">
        <w:rPr>
          <w:bCs/>
          <w:i/>
          <w:szCs w:val="20"/>
        </w:rPr>
        <w:t xml:space="preserve">ak </w:t>
      </w:r>
      <w:r w:rsidR="00D3400E" w:rsidRPr="00D3434A">
        <w:rPr>
          <w:bCs/>
          <w:i/>
          <w:szCs w:val="20"/>
        </w:rPr>
        <w:t>klesající ceny, tak nižší teploty</w:t>
      </w:r>
      <w:r w:rsidR="00D3400E">
        <w:rPr>
          <w:bCs/>
          <w:i/>
          <w:szCs w:val="20"/>
        </w:rPr>
        <w:t xml:space="preserve">,“ </w:t>
      </w:r>
      <w:r w:rsidR="00576E05">
        <w:rPr>
          <w:bCs/>
          <w:iCs/>
          <w:szCs w:val="20"/>
        </w:rPr>
        <w:t xml:space="preserve">shrnuje </w:t>
      </w:r>
      <w:r w:rsidR="00576E05" w:rsidRPr="00576E05">
        <w:rPr>
          <w:b/>
          <w:iCs/>
          <w:szCs w:val="20"/>
        </w:rPr>
        <w:t>Jan Šefránek, předseda ERÚ.</w:t>
      </w:r>
      <w:r w:rsidR="00D3434A">
        <w:rPr>
          <w:bCs/>
          <w:iCs/>
          <w:szCs w:val="20"/>
        </w:rPr>
        <w:t xml:space="preserve"> </w:t>
      </w:r>
      <w:r w:rsidR="00D3434A" w:rsidRPr="00D3434A">
        <w:rPr>
          <w:bCs/>
          <w:i/>
          <w:szCs w:val="20"/>
        </w:rPr>
        <w:t>„Rostl</w:t>
      </w:r>
      <w:r w:rsidR="00D3400E">
        <w:rPr>
          <w:bCs/>
          <w:i/>
          <w:szCs w:val="20"/>
        </w:rPr>
        <w:t>a</w:t>
      </w:r>
      <w:r w:rsidR="00D3434A" w:rsidRPr="00D3434A">
        <w:rPr>
          <w:bCs/>
          <w:i/>
          <w:szCs w:val="20"/>
        </w:rPr>
        <w:t xml:space="preserve"> také výroba elektřiny</w:t>
      </w:r>
      <w:r w:rsidR="00D3400E">
        <w:rPr>
          <w:bCs/>
          <w:i/>
          <w:szCs w:val="20"/>
        </w:rPr>
        <w:t xml:space="preserve"> i tepla. Současně se zvýšil</w:t>
      </w:r>
      <w:r w:rsidR="00D3434A" w:rsidRPr="00D3434A">
        <w:rPr>
          <w:bCs/>
          <w:i/>
          <w:szCs w:val="20"/>
        </w:rPr>
        <w:t xml:space="preserve"> tranzit plynu</w:t>
      </w:r>
      <w:r w:rsidR="009F3078">
        <w:rPr>
          <w:bCs/>
          <w:i/>
          <w:szCs w:val="20"/>
        </w:rPr>
        <w:t xml:space="preserve">, jehož výnosy jdou podle </w:t>
      </w:r>
      <w:r w:rsidR="009F3078" w:rsidRPr="00F83241">
        <w:rPr>
          <w:bCs/>
          <w:i/>
          <w:szCs w:val="20"/>
        </w:rPr>
        <w:t>nově nastavených pravidel regulace ve prospěch českých zákazníků</w:t>
      </w:r>
      <w:r w:rsidR="009F3078">
        <w:rPr>
          <w:bCs/>
          <w:i/>
          <w:szCs w:val="20"/>
        </w:rPr>
        <w:t>.</w:t>
      </w:r>
      <w:r w:rsidR="00D3434A" w:rsidRPr="00D3434A">
        <w:rPr>
          <w:bCs/>
          <w:i/>
          <w:szCs w:val="20"/>
        </w:rPr>
        <w:t xml:space="preserve">“ </w:t>
      </w:r>
    </w:p>
    <w:p w14:paraId="14DA44AA" w14:textId="7C2F8090" w:rsidR="00FD3BE0" w:rsidRDefault="00FD3BE0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Elektřina </w:t>
      </w:r>
    </w:p>
    <w:p w14:paraId="271EC01C" w14:textId="02989A33" w:rsidR="004A5B9E" w:rsidRDefault="004A5B9E" w:rsidP="00017405">
      <w:pPr>
        <w:spacing w:after="240"/>
        <w:jc w:val="both"/>
        <w:rPr>
          <w:szCs w:val="20"/>
        </w:rPr>
      </w:pPr>
      <w:r>
        <w:rPr>
          <w:szCs w:val="20"/>
        </w:rPr>
        <w:t>Netto</w:t>
      </w:r>
      <w:r>
        <w:rPr>
          <w:rStyle w:val="Znakapoznpodarou"/>
          <w:szCs w:val="20"/>
        </w:rPr>
        <w:footnoteReference w:id="1"/>
      </w:r>
      <w:r>
        <w:rPr>
          <w:szCs w:val="20"/>
        </w:rPr>
        <w:t xml:space="preserve"> spotřeba elektřiny loni </w:t>
      </w:r>
      <w:r w:rsidR="00D3400E">
        <w:rPr>
          <w:szCs w:val="20"/>
        </w:rPr>
        <w:t>stoupla</w:t>
      </w:r>
      <w:r>
        <w:rPr>
          <w:szCs w:val="20"/>
        </w:rPr>
        <w:t xml:space="preserve"> na 59 </w:t>
      </w:r>
      <w:proofErr w:type="spellStart"/>
      <w:r>
        <w:rPr>
          <w:szCs w:val="20"/>
        </w:rPr>
        <w:t>TWh</w:t>
      </w:r>
      <w:proofErr w:type="spellEnd"/>
      <w:r>
        <w:rPr>
          <w:szCs w:val="20"/>
        </w:rPr>
        <w:t>, meziročně tak vzrostla o 1,8 %. Zdaleka nejvýraznější nárůst zaznamenaly domácnosti (+ 6,5 %), spotřeba rostla i u podnikatelů (+</w:t>
      </w:r>
      <w:r w:rsidR="00C575AA">
        <w:rPr>
          <w:szCs w:val="20"/>
        </w:rPr>
        <w:t> </w:t>
      </w:r>
      <w:r>
        <w:rPr>
          <w:szCs w:val="20"/>
        </w:rPr>
        <w:t>1</w:t>
      </w:r>
      <w:r w:rsidR="00C575AA">
        <w:rPr>
          <w:szCs w:val="20"/>
        </w:rPr>
        <w:t>,</w:t>
      </w:r>
      <w:r>
        <w:rPr>
          <w:szCs w:val="20"/>
        </w:rPr>
        <w:t>9</w:t>
      </w:r>
      <w:r w:rsidR="00C575AA">
        <w:rPr>
          <w:szCs w:val="20"/>
        </w:rPr>
        <w:t> </w:t>
      </w:r>
      <w:r>
        <w:rPr>
          <w:szCs w:val="20"/>
        </w:rPr>
        <w:t>%). V kategorii velkoodběratelů na hladině vysokého napětí došlo oproti roku 2024 jen k nepatrné změně (+ 0,2 %)</w:t>
      </w:r>
      <w:r w:rsidR="00EA04E6">
        <w:rPr>
          <w:szCs w:val="20"/>
        </w:rPr>
        <w:t>. N</w:t>
      </w:r>
      <w:r>
        <w:rPr>
          <w:szCs w:val="20"/>
        </w:rPr>
        <w:t xml:space="preserve">aopak </w:t>
      </w:r>
      <w:r w:rsidR="00EA04E6">
        <w:rPr>
          <w:szCs w:val="20"/>
        </w:rPr>
        <w:t>velkoodběratelé na hladině velmi vysokého napětí spotřebovali o 2,9 % elektřiny méně</w:t>
      </w:r>
      <w:r w:rsidR="000B7574">
        <w:rPr>
          <w:szCs w:val="20"/>
        </w:rPr>
        <w:t>.</w:t>
      </w:r>
    </w:p>
    <w:p w14:paraId="34B23A49" w14:textId="77777777" w:rsidR="004F1530" w:rsidRDefault="00EA04E6" w:rsidP="00017405">
      <w:pPr>
        <w:spacing w:after="240"/>
        <w:jc w:val="both"/>
        <w:rPr>
          <w:szCs w:val="20"/>
        </w:rPr>
      </w:pPr>
      <w:r>
        <w:rPr>
          <w:szCs w:val="20"/>
        </w:rPr>
        <w:t xml:space="preserve">Výroba elektřiny stoupla o 3,2 % a Česko i v loňském roce zůstalo čistým exportérem. Přeshraniční saldo, tedy rozdíl mezi vývozem a dovozem, meziročně stoupl z předloňských 6,7 </w:t>
      </w:r>
      <w:proofErr w:type="spellStart"/>
      <w:r>
        <w:rPr>
          <w:szCs w:val="20"/>
        </w:rPr>
        <w:t>TWh</w:t>
      </w:r>
      <w:proofErr w:type="spellEnd"/>
      <w:r>
        <w:rPr>
          <w:szCs w:val="20"/>
        </w:rPr>
        <w:t xml:space="preserve"> na loňských 7,4 </w:t>
      </w:r>
      <w:proofErr w:type="spellStart"/>
      <w:r>
        <w:rPr>
          <w:szCs w:val="20"/>
        </w:rPr>
        <w:t>TWh</w:t>
      </w:r>
      <w:proofErr w:type="spellEnd"/>
      <w:r>
        <w:rPr>
          <w:szCs w:val="20"/>
        </w:rPr>
        <w:t xml:space="preserve">. </w:t>
      </w:r>
    </w:p>
    <w:p w14:paraId="100CDADF" w14:textId="2B1C53B2" w:rsidR="00EA04E6" w:rsidRDefault="004F1530" w:rsidP="00017405">
      <w:pPr>
        <w:spacing w:after="240"/>
        <w:jc w:val="both"/>
        <w:rPr>
          <w:szCs w:val="20"/>
        </w:rPr>
      </w:pPr>
      <w:r>
        <w:rPr>
          <w:szCs w:val="20"/>
        </w:rPr>
        <w:t xml:space="preserve">Na výrobě se tradičně nejvíce podílely jaderné a parní elektrárny, v nichž se </w:t>
      </w:r>
      <w:r w:rsidR="00D3434A">
        <w:rPr>
          <w:szCs w:val="20"/>
        </w:rPr>
        <w:t xml:space="preserve">v součtu </w:t>
      </w:r>
      <w:r>
        <w:rPr>
          <w:szCs w:val="20"/>
        </w:rPr>
        <w:t>vyrobilo 81,5 % veškeré elektřiny. Podíl prvně jmenovaných byl 42,</w:t>
      </w:r>
      <w:r w:rsidR="00C575AA">
        <w:rPr>
          <w:szCs w:val="20"/>
        </w:rPr>
        <w:t>6</w:t>
      </w:r>
      <w:r>
        <w:rPr>
          <w:szCs w:val="20"/>
        </w:rPr>
        <w:t xml:space="preserve"> %</w:t>
      </w:r>
      <w:r w:rsidR="00D3434A">
        <w:rPr>
          <w:szCs w:val="20"/>
        </w:rPr>
        <w:t xml:space="preserve"> a</w:t>
      </w:r>
      <w:r>
        <w:rPr>
          <w:szCs w:val="20"/>
        </w:rPr>
        <w:t xml:space="preserve"> meziročně</w:t>
      </w:r>
      <w:r w:rsidR="00D3434A">
        <w:rPr>
          <w:szCs w:val="20"/>
        </w:rPr>
        <w:t xml:space="preserve"> u nich</w:t>
      </w:r>
      <w:r>
        <w:rPr>
          <w:szCs w:val="20"/>
        </w:rPr>
        <w:t xml:space="preserve"> </w:t>
      </w:r>
      <w:r w:rsidR="00E710EF">
        <w:rPr>
          <w:szCs w:val="20"/>
        </w:rPr>
        <w:t>došlo k nárůstu</w:t>
      </w:r>
      <w:r>
        <w:rPr>
          <w:szCs w:val="20"/>
        </w:rPr>
        <w:t xml:space="preserve"> o 8</w:t>
      </w:r>
      <w:r w:rsidR="00C575AA">
        <w:rPr>
          <w:szCs w:val="20"/>
        </w:rPr>
        <w:t>,1</w:t>
      </w:r>
      <w:r>
        <w:rPr>
          <w:szCs w:val="20"/>
        </w:rPr>
        <w:t xml:space="preserve"> %. </w:t>
      </w:r>
      <w:r w:rsidR="00E710EF">
        <w:rPr>
          <w:szCs w:val="20"/>
        </w:rPr>
        <w:t xml:space="preserve">Výroba </w:t>
      </w:r>
      <w:r>
        <w:rPr>
          <w:szCs w:val="20"/>
        </w:rPr>
        <w:t>parních elektráren</w:t>
      </w:r>
      <w:r w:rsidR="00E710EF">
        <w:rPr>
          <w:szCs w:val="20"/>
        </w:rPr>
        <w:t xml:space="preserve"> </w:t>
      </w:r>
      <w:r>
        <w:rPr>
          <w:szCs w:val="20"/>
        </w:rPr>
        <w:t xml:space="preserve">v porovnání s rokem 2024 </w:t>
      </w:r>
      <w:r w:rsidR="00E710EF">
        <w:rPr>
          <w:szCs w:val="20"/>
        </w:rPr>
        <w:t xml:space="preserve">vzrostla jen drobně </w:t>
      </w:r>
      <w:r>
        <w:rPr>
          <w:szCs w:val="20"/>
        </w:rPr>
        <w:t>(+</w:t>
      </w:r>
      <w:r w:rsidR="00C575AA">
        <w:rPr>
          <w:szCs w:val="20"/>
        </w:rPr>
        <w:t> </w:t>
      </w:r>
      <w:r>
        <w:rPr>
          <w:szCs w:val="20"/>
        </w:rPr>
        <w:t xml:space="preserve">0,5 %). Fotovoltaické elektrárny vyrobily </w:t>
      </w:r>
      <w:r w:rsidR="00E710EF">
        <w:rPr>
          <w:szCs w:val="20"/>
        </w:rPr>
        <w:t xml:space="preserve">meziročně </w:t>
      </w:r>
      <w:r>
        <w:rPr>
          <w:szCs w:val="20"/>
        </w:rPr>
        <w:t>o 18,6 % elektřiny</w:t>
      </w:r>
      <w:r w:rsidR="00E710EF">
        <w:rPr>
          <w:szCs w:val="20"/>
        </w:rPr>
        <w:t xml:space="preserve"> více a jejich celkový instalovaný výkon se navýšil ze 4 </w:t>
      </w:r>
      <w:proofErr w:type="spellStart"/>
      <w:r w:rsidR="00E710EF" w:rsidRPr="00A764DE">
        <w:rPr>
          <w:szCs w:val="20"/>
        </w:rPr>
        <w:t>GWe</w:t>
      </w:r>
      <w:proofErr w:type="spellEnd"/>
      <w:r w:rsidR="00E710EF">
        <w:rPr>
          <w:szCs w:val="20"/>
        </w:rPr>
        <w:t xml:space="preserve"> na 4,5 </w:t>
      </w:r>
      <w:proofErr w:type="spellStart"/>
      <w:r w:rsidR="00E710EF">
        <w:rPr>
          <w:szCs w:val="20"/>
        </w:rPr>
        <w:t>GWe</w:t>
      </w:r>
      <w:proofErr w:type="spellEnd"/>
      <w:r w:rsidR="00E710EF">
        <w:rPr>
          <w:szCs w:val="20"/>
        </w:rPr>
        <w:t>. Více elektřiny vyrobily rovněž přečerpávací (+ 14,5 %) a plynové a spalovací (+ 4,6 %) elektrárny. Naopak elektrárny vodní (- 40,2 %), větrné (- 7,2 %) a paroplynové (- 1,</w:t>
      </w:r>
      <w:r w:rsidR="00787460">
        <w:rPr>
          <w:szCs w:val="20"/>
        </w:rPr>
        <w:t>4</w:t>
      </w:r>
      <w:r w:rsidR="00E710EF">
        <w:rPr>
          <w:szCs w:val="20"/>
        </w:rPr>
        <w:t xml:space="preserve"> %) svou výrobu snížily.    </w:t>
      </w:r>
      <w:r>
        <w:rPr>
          <w:szCs w:val="20"/>
        </w:rPr>
        <w:t xml:space="preserve">  </w:t>
      </w:r>
    </w:p>
    <w:p w14:paraId="694A70A5" w14:textId="280CE4D0" w:rsidR="00FD3BE0" w:rsidRDefault="00FD3BE0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>Plyn</w:t>
      </w:r>
    </w:p>
    <w:p w14:paraId="62DDAAD9" w14:textId="74257FAE" w:rsidR="000705E5" w:rsidRDefault="000705E5" w:rsidP="00017405">
      <w:pPr>
        <w:spacing w:after="24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Spotřeba plynu narostla oproti roku 2024 dokonce o 6,5 %, celkově se jednalo o </w:t>
      </w:r>
      <w:r w:rsidRPr="000C2D3B">
        <w:rPr>
          <w:bCs/>
          <w:iCs/>
          <w:szCs w:val="20"/>
        </w:rPr>
        <w:t>7,2 mld. m</w:t>
      </w:r>
      <w:r w:rsidRPr="000C2D3B">
        <w:rPr>
          <w:bCs/>
          <w:iCs/>
          <w:szCs w:val="20"/>
          <w:vertAlign w:val="superscript"/>
        </w:rPr>
        <w:t>3 </w:t>
      </w:r>
      <w:r w:rsidRPr="000C2D3B">
        <w:rPr>
          <w:bCs/>
          <w:iCs/>
          <w:szCs w:val="20"/>
        </w:rPr>
        <w:t xml:space="preserve">(78,9 </w:t>
      </w:r>
      <w:proofErr w:type="spellStart"/>
      <w:r w:rsidRPr="000C2D3B">
        <w:rPr>
          <w:bCs/>
          <w:iCs/>
          <w:szCs w:val="20"/>
        </w:rPr>
        <w:t>TWh</w:t>
      </w:r>
      <w:proofErr w:type="spellEnd"/>
      <w:r w:rsidRPr="000C2D3B">
        <w:rPr>
          <w:bCs/>
          <w:iCs/>
          <w:szCs w:val="20"/>
        </w:rPr>
        <w:t>)</w:t>
      </w:r>
      <w:r>
        <w:rPr>
          <w:bCs/>
          <w:iCs/>
          <w:szCs w:val="20"/>
        </w:rPr>
        <w:t xml:space="preserve">. Velkou měrou k tomu přispěly meziročně nižší teploty – zatímco předloni byla průměrná teplota </w:t>
      </w:r>
      <w:r w:rsidR="00CB61D5">
        <w:rPr>
          <w:bCs/>
          <w:iCs/>
          <w:szCs w:val="20"/>
        </w:rPr>
        <w:t xml:space="preserve">roku </w:t>
      </w:r>
      <w:r w:rsidR="000C2ED6">
        <w:rPr>
          <w:bCs/>
          <w:iCs/>
          <w:szCs w:val="20"/>
        </w:rPr>
        <w:t>10,5</w:t>
      </w:r>
      <w:r>
        <w:rPr>
          <w:bCs/>
          <w:iCs/>
          <w:szCs w:val="20"/>
        </w:rPr>
        <w:t xml:space="preserve"> °C, loni to</w:t>
      </w:r>
      <w:r w:rsidR="000C2ED6">
        <w:rPr>
          <w:bCs/>
          <w:iCs/>
          <w:szCs w:val="20"/>
        </w:rPr>
        <w:t xml:space="preserve"> bylo </w:t>
      </w:r>
      <w:r w:rsidR="009A0BC2">
        <w:rPr>
          <w:bCs/>
          <w:iCs/>
          <w:szCs w:val="20"/>
        </w:rPr>
        <w:t xml:space="preserve">o </w:t>
      </w:r>
      <w:r w:rsidR="000C2ED6">
        <w:rPr>
          <w:bCs/>
          <w:iCs/>
          <w:szCs w:val="20"/>
        </w:rPr>
        <w:t>stupeň a půl méně</w:t>
      </w:r>
      <w:r>
        <w:rPr>
          <w:bCs/>
          <w:iCs/>
          <w:szCs w:val="20"/>
        </w:rPr>
        <w:t>. Proto pokud se spotřeba přepočte na dlouhodobý teplotní normál (8,7</w:t>
      </w:r>
      <w:r w:rsidR="00C258C9">
        <w:rPr>
          <w:bCs/>
          <w:iCs/>
          <w:szCs w:val="20"/>
        </w:rPr>
        <w:t xml:space="preserve"> °C), vzrostla jen o 0,5 %. </w:t>
      </w:r>
    </w:p>
    <w:p w14:paraId="72B92566" w14:textId="7C94B211" w:rsidR="00C258C9" w:rsidRDefault="00C258C9" w:rsidP="00017405">
      <w:pPr>
        <w:spacing w:after="240"/>
        <w:jc w:val="both"/>
        <w:rPr>
          <w:bCs/>
          <w:iCs/>
          <w:szCs w:val="20"/>
        </w:rPr>
      </w:pPr>
      <w:r>
        <w:rPr>
          <w:bCs/>
          <w:iCs/>
          <w:szCs w:val="20"/>
        </w:rPr>
        <w:lastRenderedPageBreak/>
        <w:t>Spotřeba meziročně stoupla zejména u menších odběratelů – u domácností o 9,9 %, u podnikatelů pak o 9,3 %. U středních odběratelů</w:t>
      </w:r>
      <w:r w:rsidR="00CF3FD8">
        <w:rPr>
          <w:bCs/>
          <w:iCs/>
          <w:szCs w:val="20"/>
        </w:rPr>
        <w:t xml:space="preserve"> došlo k nárůstu o 6,4 %</w:t>
      </w:r>
      <w:r>
        <w:rPr>
          <w:bCs/>
          <w:iCs/>
          <w:szCs w:val="20"/>
        </w:rPr>
        <w:t xml:space="preserve">, u velkoodběratelů o </w:t>
      </w:r>
      <w:r w:rsidR="00CF3FD8">
        <w:rPr>
          <w:bCs/>
          <w:iCs/>
          <w:szCs w:val="20"/>
        </w:rPr>
        <w:t xml:space="preserve">3,4 </w:t>
      </w:r>
      <w:r>
        <w:rPr>
          <w:bCs/>
          <w:iCs/>
          <w:szCs w:val="20"/>
        </w:rPr>
        <w:t xml:space="preserve">%.  </w:t>
      </w:r>
    </w:p>
    <w:p w14:paraId="61802047" w14:textId="45EC06E1" w:rsidR="00E72E33" w:rsidRDefault="00BF07A8" w:rsidP="00017405">
      <w:pPr>
        <w:spacing w:after="24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Tok plynu přes tuzemskou soustavu byl loni stále výrazně nižší než před vypuknutím války na Ukrajině, zároveň ale o desítky procent vyšší než v roce 2024. Do tuzemské soustavy přiteklo 8,5 mld. </w:t>
      </w:r>
      <w:r w:rsidRPr="000C2D3B">
        <w:rPr>
          <w:bCs/>
          <w:iCs/>
          <w:szCs w:val="20"/>
        </w:rPr>
        <w:t>m</w:t>
      </w:r>
      <w:r w:rsidRPr="000C2D3B">
        <w:rPr>
          <w:bCs/>
          <w:iCs/>
          <w:szCs w:val="20"/>
          <w:vertAlign w:val="superscript"/>
        </w:rPr>
        <w:t>3</w:t>
      </w:r>
      <w:r>
        <w:rPr>
          <w:bCs/>
          <w:iCs/>
          <w:szCs w:val="20"/>
          <w:vertAlign w:val="superscript"/>
        </w:rPr>
        <w:t xml:space="preserve"> </w:t>
      </w:r>
      <w:r>
        <w:rPr>
          <w:bCs/>
          <w:iCs/>
          <w:szCs w:val="20"/>
        </w:rPr>
        <w:t xml:space="preserve">(meziročně + 39,9 %), odteklo 1,3 mld. </w:t>
      </w:r>
      <w:r w:rsidRPr="000C2D3B">
        <w:rPr>
          <w:bCs/>
          <w:iCs/>
          <w:szCs w:val="20"/>
        </w:rPr>
        <w:t>m</w:t>
      </w:r>
      <w:r w:rsidRPr="000C2D3B">
        <w:rPr>
          <w:bCs/>
          <w:iCs/>
          <w:szCs w:val="20"/>
          <w:vertAlign w:val="superscript"/>
        </w:rPr>
        <w:t>3</w:t>
      </w:r>
      <w:r>
        <w:rPr>
          <w:bCs/>
          <w:iCs/>
          <w:szCs w:val="20"/>
        </w:rPr>
        <w:t>,</w:t>
      </w:r>
      <w:r w:rsidR="00E72E33">
        <w:rPr>
          <w:bCs/>
          <w:iCs/>
          <w:szCs w:val="20"/>
        </w:rPr>
        <w:t xml:space="preserve"> tedy takřka čtyřikrát víc než v roce 2024. V zásobnících bylo </w:t>
      </w:r>
      <w:r w:rsidR="00C258C9">
        <w:rPr>
          <w:bCs/>
          <w:iCs/>
          <w:szCs w:val="20"/>
        </w:rPr>
        <w:t xml:space="preserve">na konci loňského roku </w:t>
      </w:r>
      <w:r w:rsidR="00E72E33" w:rsidRPr="00E72E33">
        <w:rPr>
          <w:bCs/>
          <w:iCs/>
          <w:szCs w:val="20"/>
        </w:rPr>
        <w:t>2</w:t>
      </w:r>
      <w:r w:rsidR="00E72E33">
        <w:rPr>
          <w:bCs/>
          <w:iCs/>
          <w:szCs w:val="20"/>
        </w:rPr>
        <w:t xml:space="preserve">,3 mld. </w:t>
      </w:r>
      <w:r w:rsidR="00E72E33" w:rsidRPr="000C2D3B">
        <w:rPr>
          <w:bCs/>
          <w:iCs/>
          <w:szCs w:val="20"/>
        </w:rPr>
        <w:t>m</w:t>
      </w:r>
      <w:r w:rsidR="00E72E33" w:rsidRPr="000C2D3B">
        <w:rPr>
          <w:bCs/>
          <w:iCs/>
          <w:szCs w:val="20"/>
          <w:vertAlign w:val="superscript"/>
        </w:rPr>
        <w:t>3</w:t>
      </w:r>
      <w:r w:rsidR="00C258C9">
        <w:rPr>
          <w:bCs/>
          <w:iCs/>
          <w:szCs w:val="20"/>
          <w:vertAlign w:val="superscript"/>
        </w:rPr>
        <w:t xml:space="preserve"> </w:t>
      </w:r>
      <w:r w:rsidR="00C258C9">
        <w:rPr>
          <w:bCs/>
          <w:iCs/>
          <w:szCs w:val="20"/>
        </w:rPr>
        <w:t xml:space="preserve">plynu, </w:t>
      </w:r>
      <w:r w:rsidR="00EA2B2F">
        <w:rPr>
          <w:bCs/>
          <w:iCs/>
          <w:szCs w:val="20"/>
        </w:rPr>
        <w:t xml:space="preserve">byly </w:t>
      </w:r>
      <w:r w:rsidR="00E72E33">
        <w:rPr>
          <w:bCs/>
          <w:iCs/>
          <w:szCs w:val="20"/>
        </w:rPr>
        <w:t>t</w:t>
      </w:r>
      <w:r w:rsidR="00C258C9">
        <w:rPr>
          <w:bCs/>
          <w:iCs/>
          <w:szCs w:val="20"/>
        </w:rPr>
        <w:t>ak</w:t>
      </w:r>
      <w:r w:rsidR="00EA2B2F">
        <w:rPr>
          <w:bCs/>
          <w:iCs/>
          <w:szCs w:val="20"/>
        </w:rPr>
        <w:t xml:space="preserve"> naplněn</w:t>
      </w:r>
      <w:r w:rsidR="00C258C9">
        <w:rPr>
          <w:bCs/>
          <w:iCs/>
          <w:szCs w:val="20"/>
        </w:rPr>
        <w:t>y</w:t>
      </w:r>
      <w:r w:rsidR="00EA2B2F">
        <w:rPr>
          <w:bCs/>
          <w:iCs/>
          <w:szCs w:val="20"/>
        </w:rPr>
        <w:t xml:space="preserve"> z 64,8 %. </w:t>
      </w:r>
    </w:p>
    <w:p w14:paraId="7D71925F" w14:textId="11E035E4" w:rsidR="00FD3BE0" w:rsidRDefault="00FD3BE0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Teplo </w:t>
      </w:r>
    </w:p>
    <w:p w14:paraId="7B05907B" w14:textId="3CB4B4D9" w:rsidR="00856776" w:rsidRDefault="006B3232" w:rsidP="006B3232">
      <w:pPr>
        <w:spacing w:after="240"/>
        <w:jc w:val="both"/>
        <w:rPr>
          <w:bCs/>
          <w:iCs/>
          <w:szCs w:val="20"/>
        </w:rPr>
      </w:pPr>
      <w:r w:rsidRPr="006B3232">
        <w:rPr>
          <w:bCs/>
          <w:iCs/>
          <w:szCs w:val="20"/>
        </w:rPr>
        <w:t>Také spotřeba tep</w:t>
      </w:r>
      <w:r>
        <w:rPr>
          <w:bCs/>
          <w:iCs/>
          <w:szCs w:val="20"/>
        </w:rPr>
        <w:t>elné energie</w:t>
      </w:r>
      <w:r w:rsidRPr="006B3232">
        <w:rPr>
          <w:bCs/>
          <w:iCs/>
          <w:szCs w:val="20"/>
        </w:rPr>
        <w:t xml:space="preserve"> v soustavách centrálního zásobování</w:t>
      </w:r>
      <w:r>
        <w:rPr>
          <w:bCs/>
          <w:iCs/>
          <w:szCs w:val="20"/>
        </w:rPr>
        <w:t xml:space="preserve"> meziročně vzrostla, a to o </w:t>
      </w:r>
      <w:r w:rsidRPr="006B3232">
        <w:rPr>
          <w:bCs/>
          <w:iCs/>
          <w:szCs w:val="20"/>
        </w:rPr>
        <w:t>3,</w:t>
      </w:r>
      <w:r w:rsidR="00C22381">
        <w:rPr>
          <w:bCs/>
          <w:iCs/>
          <w:szCs w:val="20"/>
        </w:rPr>
        <w:t>4</w:t>
      </w:r>
      <w:r w:rsidR="00E57B6D">
        <w:rPr>
          <w:bCs/>
          <w:iCs/>
          <w:szCs w:val="20"/>
        </w:rPr>
        <w:t xml:space="preserve"> </w:t>
      </w:r>
      <w:r w:rsidRPr="006B3232">
        <w:rPr>
          <w:bCs/>
          <w:iCs/>
          <w:szCs w:val="20"/>
        </w:rPr>
        <w:t>%</w:t>
      </w:r>
      <w:r>
        <w:rPr>
          <w:bCs/>
          <w:iCs/>
          <w:szCs w:val="20"/>
        </w:rPr>
        <w:t xml:space="preserve"> (na 68,2 PJ). Růst táhly zejména </w:t>
      </w:r>
      <w:r w:rsidR="00290DC2">
        <w:rPr>
          <w:bCs/>
          <w:iCs/>
          <w:szCs w:val="20"/>
        </w:rPr>
        <w:t xml:space="preserve">sektor </w:t>
      </w:r>
      <w:r w:rsidR="00290DC2" w:rsidRPr="00290DC2">
        <w:rPr>
          <w:bCs/>
          <w:iCs/>
          <w:szCs w:val="20"/>
        </w:rPr>
        <w:t>obchodu, služeb, školství a zdravotnictví</w:t>
      </w:r>
      <w:r w:rsidR="00290DC2">
        <w:rPr>
          <w:bCs/>
          <w:iCs/>
          <w:szCs w:val="20"/>
        </w:rPr>
        <w:t xml:space="preserve"> (meziročně + 8</w:t>
      </w:r>
      <w:r w:rsidR="000D79FE">
        <w:rPr>
          <w:bCs/>
          <w:iCs/>
          <w:szCs w:val="20"/>
        </w:rPr>
        <w:t>,1</w:t>
      </w:r>
      <w:r w:rsidR="00290DC2">
        <w:rPr>
          <w:bCs/>
          <w:iCs/>
          <w:szCs w:val="20"/>
        </w:rPr>
        <w:t xml:space="preserve"> %) a </w:t>
      </w:r>
      <w:r>
        <w:rPr>
          <w:bCs/>
          <w:iCs/>
          <w:szCs w:val="20"/>
        </w:rPr>
        <w:t>domácnosti</w:t>
      </w:r>
      <w:r w:rsidR="00290DC2">
        <w:rPr>
          <w:bCs/>
          <w:iCs/>
          <w:szCs w:val="20"/>
        </w:rPr>
        <w:t xml:space="preserve"> (+</w:t>
      </w:r>
      <w:r>
        <w:rPr>
          <w:bCs/>
          <w:iCs/>
          <w:szCs w:val="20"/>
        </w:rPr>
        <w:t xml:space="preserve"> 5,5 %</w:t>
      </w:r>
      <w:r w:rsidR="00290DC2">
        <w:rPr>
          <w:bCs/>
          <w:iCs/>
          <w:szCs w:val="20"/>
        </w:rPr>
        <w:t>). Naopak spotřeba v průmyslu velmi nepatrně klesla (- 0,1 %)</w:t>
      </w:r>
      <w:r w:rsidR="00C22381">
        <w:rPr>
          <w:bCs/>
          <w:iCs/>
          <w:szCs w:val="20"/>
        </w:rPr>
        <w:t>.</w:t>
      </w:r>
      <w:r w:rsidR="00290DC2">
        <w:rPr>
          <w:bCs/>
          <w:iCs/>
          <w:szCs w:val="20"/>
        </w:rPr>
        <w:t xml:space="preserve"> </w:t>
      </w:r>
    </w:p>
    <w:p w14:paraId="6D4DC7AD" w14:textId="5761E6E3" w:rsidR="00CB61D5" w:rsidRDefault="00CB61D5" w:rsidP="006B3232">
      <w:pPr>
        <w:spacing w:after="240"/>
        <w:jc w:val="both"/>
        <w:rPr>
          <w:bCs/>
          <w:iCs/>
          <w:szCs w:val="20"/>
        </w:rPr>
      </w:pPr>
      <w:r w:rsidRPr="00CB61D5">
        <w:rPr>
          <w:bCs/>
          <w:iCs/>
          <w:szCs w:val="20"/>
        </w:rPr>
        <w:t>Celkov</w:t>
      </w:r>
      <w:r>
        <w:rPr>
          <w:bCs/>
          <w:iCs/>
          <w:szCs w:val="20"/>
        </w:rPr>
        <w:t xml:space="preserve">ě se loni v Česku vyrobilo </w:t>
      </w:r>
      <w:r w:rsidRPr="00CB61D5">
        <w:rPr>
          <w:bCs/>
          <w:iCs/>
          <w:szCs w:val="20"/>
        </w:rPr>
        <w:t>137</w:t>
      </w:r>
      <w:r>
        <w:rPr>
          <w:bCs/>
          <w:iCs/>
          <w:szCs w:val="20"/>
        </w:rPr>
        <w:t xml:space="preserve"> </w:t>
      </w:r>
      <w:r w:rsidRPr="00CB61D5">
        <w:rPr>
          <w:bCs/>
          <w:iCs/>
          <w:szCs w:val="20"/>
        </w:rPr>
        <w:t>PJ</w:t>
      </w:r>
      <w:r>
        <w:rPr>
          <w:bCs/>
          <w:iCs/>
          <w:szCs w:val="20"/>
        </w:rPr>
        <w:t xml:space="preserve"> tepla, o </w:t>
      </w:r>
      <w:r w:rsidRPr="00CB61D5">
        <w:rPr>
          <w:bCs/>
          <w:iCs/>
          <w:szCs w:val="20"/>
        </w:rPr>
        <w:t>3,1 %</w:t>
      </w:r>
      <w:r>
        <w:rPr>
          <w:bCs/>
          <w:iCs/>
          <w:szCs w:val="20"/>
        </w:rPr>
        <w:t xml:space="preserve"> více než v roce 2024.</w:t>
      </w:r>
      <w:r w:rsidRPr="00CB61D5">
        <w:rPr>
          <w:bCs/>
          <w:iCs/>
          <w:szCs w:val="20"/>
        </w:rPr>
        <w:t xml:space="preserve"> </w:t>
      </w:r>
      <w:r>
        <w:rPr>
          <w:bCs/>
          <w:iCs/>
          <w:szCs w:val="20"/>
        </w:rPr>
        <w:t xml:space="preserve">K nárůstu docházelo </w:t>
      </w:r>
      <w:r w:rsidRPr="00CB61D5">
        <w:rPr>
          <w:bCs/>
          <w:iCs/>
          <w:szCs w:val="20"/>
        </w:rPr>
        <w:t>ve všech čtvrtletích</w:t>
      </w:r>
      <w:r>
        <w:rPr>
          <w:bCs/>
          <w:iCs/>
          <w:szCs w:val="20"/>
        </w:rPr>
        <w:t xml:space="preserve"> roku</w:t>
      </w:r>
      <w:r w:rsidRPr="00CB61D5">
        <w:rPr>
          <w:bCs/>
          <w:iCs/>
          <w:szCs w:val="20"/>
        </w:rPr>
        <w:t xml:space="preserve">, </w:t>
      </w:r>
      <w:r>
        <w:rPr>
          <w:bCs/>
          <w:iCs/>
          <w:szCs w:val="20"/>
        </w:rPr>
        <w:t>k největšímu hned v prvním kvartálu (+ 6 %). Proces postupné transformace teplárenství se projevil i v tom, že rostla výroba ze zemního plynu (+ 8</w:t>
      </w:r>
      <w:r w:rsidR="009D5C4F">
        <w:rPr>
          <w:bCs/>
          <w:iCs/>
          <w:szCs w:val="20"/>
        </w:rPr>
        <w:t xml:space="preserve"> </w:t>
      </w:r>
      <w:r>
        <w:rPr>
          <w:bCs/>
          <w:iCs/>
          <w:szCs w:val="20"/>
        </w:rPr>
        <w:t xml:space="preserve">%) a z biomasy (+ 11,1 %), které jsou při výrobě tepla druhým a třetím nejčastěji využívaným palivem. </w:t>
      </w:r>
      <w:r w:rsidR="009D5C4F">
        <w:rPr>
          <w:bCs/>
          <w:iCs/>
          <w:szCs w:val="20"/>
        </w:rPr>
        <w:t>Třetina tepla se</w:t>
      </w:r>
      <w:r>
        <w:rPr>
          <w:bCs/>
          <w:iCs/>
          <w:szCs w:val="20"/>
        </w:rPr>
        <w:t xml:space="preserve"> loni vyrobil</w:t>
      </w:r>
      <w:r w:rsidR="009D5C4F">
        <w:rPr>
          <w:bCs/>
          <w:iCs/>
          <w:szCs w:val="20"/>
        </w:rPr>
        <w:t xml:space="preserve">a </w:t>
      </w:r>
      <w:r>
        <w:rPr>
          <w:bCs/>
          <w:iCs/>
          <w:szCs w:val="20"/>
        </w:rPr>
        <w:t>z hnědého uhlí</w:t>
      </w:r>
      <w:r w:rsidR="009D5C4F">
        <w:rPr>
          <w:bCs/>
          <w:iCs/>
          <w:szCs w:val="20"/>
        </w:rPr>
        <w:t xml:space="preserve">, jehož využití meziročně mírně kleslo (- 0,6 %). </w:t>
      </w:r>
    </w:p>
    <w:p w14:paraId="6CB05EA7" w14:textId="03E86B8B" w:rsidR="009D5C4F" w:rsidRDefault="009D5C4F" w:rsidP="006B3232">
      <w:pPr>
        <w:spacing w:after="24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Podrobné statistiky a další informace najdete ve </w:t>
      </w:r>
      <w:hyperlink r:id="rId13" w:history="1">
        <w:r w:rsidRPr="009D5C4F">
          <w:rPr>
            <w:rStyle w:val="Hypertextovodkaz"/>
            <w:bCs/>
            <w:iCs/>
            <w:szCs w:val="20"/>
          </w:rPr>
          <w:t>čtvrtletních zprávách o provozu plynárenské a elektrizační soustavy a o provozu teplárenských soustav</w:t>
        </w:r>
      </w:hyperlink>
      <w:r>
        <w:rPr>
          <w:bCs/>
          <w:iCs/>
          <w:szCs w:val="20"/>
        </w:rPr>
        <w:t xml:space="preserve">. </w:t>
      </w:r>
    </w:p>
    <w:p w14:paraId="04E3DDCA" w14:textId="77777777" w:rsidR="00290DC2" w:rsidRDefault="00290DC2" w:rsidP="006B3232">
      <w:pPr>
        <w:spacing w:after="240"/>
        <w:jc w:val="both"/>
        <w:rPr>
          <w:bCs/>
          <w:iCs/>
          <w:szCs w:val="20"/>
        </w:rPr>
      </w:pPr>
    </w:p>
    <w:p w14:paraId="07DE65B5" w14:textId="77777777" w:rsidR="000C2ED6" w:rsidRPr="000C2ED6" w:rsidRDefault="000C2ED6" w:rsidP="000C2ED6">
      <w:pPr>
        <w:rPr>
          <w:szCs w:val="20"/>
        </w:rPr>
      </w:pPr>
    </w:p>
    <w:p w14:paraId="1C2A304E" w14:textId="77777777" w:rsidR="000C2ED6" w:rsidRPr="000C2ED6" w:rsidRDefault="000C2ED6" w:rsidP="000C2ED6">
      <w:pPr>
        <w:rPr>
          <w:szCs w:val="20"/>
        </w:rPr>
      </w:pPr>
    </w:p>
    <w:p w14:paraId="2654CCB3" w14:textId="77777777" w:rsidR="000C2ED6" w:rsidRPr="000C2ED6" w:rsidRDefault="000C2ED6" w:rsidP="000C2ED6">
      <w:pPr>
        <w:rPr>
          <w:szCs w:val="20"/>
        </w:rPr>
      </w:pPr>
    </w:p>
    <w:p w14:paraId="4013E391" w14:textId="77777777" w:rsidR="000C2ED6" w:rsidRPr="000C2ED6" w:rsidRDefault="000C2ED6" w:rsidP="000C2ED6">
      <w:pPr>
        <w:rPr>
          <w:szCs w:val="20"/>
        </w:rPr>
      </w:pPr>
    </w:p>
    <w:p w14:paraId="736F5D89" w14:textId="77777777" w:rsidR="000C2ED6" w:rsidRPr="000C2ED6" w:rsidRDefault="000C2ED6" w:rsidP="000C2ED6">
      <w:pPr>
        <w:rPr>
          <w:szCs w:val="20"/>
        </w:rPr>
      </w:pPr>
    </w:p>
    <w:p w14:paraId="2DEAAD8D" w14:textId="77777777" w:rsidR="000C2ED6" w:rsidRPr="000C2ED6" w:rsidRDefault="000C2ED6" w:rsidP="000C2ED6">
      <w:pPr>
        <w:rPr>
          <w:szCs w:val="20"/>
        </w:rPr>
      </w:pPr>
    </w:p>
    <w:p w14:paraId="5FA209A7" w14:textId="77777777" w:rsidR="000C2ED6" w:rsidRPr="000C2ED6" w:rsidRDefault="000C2ED6" w:rsidP="000C2ED6">
      <w:pPr>
        <w:rPr>
          <w:szCs w:val="20"/>
        </w:rPr>
      </w:pPr>
    </w:p>
    <w:p w14:paraId="06F20787" w14:textId="77777777" w:rsidR="000C2ED6" w:rsidRPr="000C2ED6" w:rsidRDefault="000C2ED6" w:rsidP="000C2ED6">
      <w:pPr>
        <w:rPr>
          <w:szCs w:val="20"/>
        </w:rPr>
      </w:pPr>
    </w:p>
    <w:p w14:paraId="37F0BA38" w14:textId="77777777" w:rsidR="000C2ED6" w:rsidRPr="000C2ED6" w:rsidRDefault="000C2ED6" w:rsidP="000C2ED6">
      <w:pPr>
        <w:rPr>
          <w:szCs w:val="20"/>
        </w:rPr>
      </w:pPr>
    </w:p>
    <w:p w14:paraId="02E65D2D" w14:textId="77777777" w:rsidR="000C2ED6" w:rsidRPr="000C2ED6" w:rsidRDefault="000C2ED6" w:rsidP="000C2ED6">
      <w:pPr>
        <w:rPr>
          <w:szCs w:val="20"/>
        </w:rPr>
      </w:pPr>
    </w:p>
    <w:p w14:paraId="0E6B3AC6" w14:textId="77777777" w:rsidR="000C2ED6" w:rsidRPr="000C2ED6" w:rsidRDefault="000C2ED6" w:rsidP="000C2ED6">
      <w:pPr>
        <w:rPr>
          <w:szCs w:val="20"/>
        </w:rPr>
      </w:pPr>
    </w:p>
    <w:p w14:paraId="2480F1DC" w14:textId="5293124C" w:rsidR="000C2ED6" w:rsidRPr="000C2ED6" w:rsidRDefault="000C2ED6" w:rsidP="000C2ED6">
      <w:pPr>
        <w:tabs>
          <w:tab w:val="left" w:pos="1670"/>
        </w:tabs>
        <w:rPr>
          <w:szCs w:val="20"/>
        </w:rPr>
      </w:pPr>
    </w:p>
    <w:sectPr w:rsidR="000C2ED6" w:rsidRPr="000C2ED6" w:rsidSect="00CC7906">
      <w:headerReference w:type="default" r:id="rId14"/>
      <w:footerReference w:type="default" r:id="rId15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8726" w14:textId="77777777" w:rsidR="00B71D2E" w:rsidRDefault="00B71D2E" w:rsidP="006928DE">
      <w:pPr>
        <w:spacing w:after="0" w:line="240" w:lineRule="auto"/>
      </w:pPr>
      <w:r>
        <w:separator/>
      </w:r>
    </w:p>
    <w:p w14:paraId="3B049AFD" w14:textId="77777777" w:rsidR="00B71D2E" w:rsidRDefault="00B71D2E"/>
  </w:endnote>
  <w:endnote w:type="continuationSeparator" w:id="0">
    <w:p w14:paraId="29B5A316" w14:textId="77777777" w:rsidR="00B71D2E" w:rsidRDefault="00B71D2E" w:rsidP="006928DE">
      <w:pPr>
        <w:spacing w:after="0" w:line="240" w:lineRule="auto"/>
      </w:pPr>
      <w:r>
        <w:continuationSeparator/>
      </w:r>
    </w:p>
    <w:p w14:paraId="383E4096" w14:textId="77777777" w:rsidR="00B71D2E" w:rsidRDefault="00B71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CC67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354E7C7C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1F0A7EA2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70A8E1AB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19E64EA4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AC51" w14:textId="6A1461AC" w:rsidR="000C2ED6" w:rsidRPr="001252D3" w:rsidRDefault="000C2ED6" w:rsidP="000C2ED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524B98A9" w14:textId="77777777" w:rsidR="000C2ED6" w:rsidRPr="00707A20" w:rsidRDefault="000C2ED6" w:rsidP="000C2ED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392C6130" w14:textId="77777777" w:rsidR="000C2ED6" w:rsidRPr="001252D3" w:rsidRDefault="000C2ED6" w:rsidP="000C2ED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76994773" w14:textId="77777777" w:rsidR="000C2ED6" w:rsidRPr="001252D3" w:rsidRDefault="000C2ED6" w:rsidP="000C2ED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7156FEE2" w14:textId="77777777" w:rsidR="000C2ED6" w:rsidRPr="00D67EE8" w:rsidRDefault="000C2ED6" w:rsidP="000C2ED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  <w:p w14:paraId="3238F9B4" w14:textId="4CE436BA" w:rsidR="000C2ED6" w:rsidRDefault="000C2ED6">
    <w:pPr>
      <w:pStyle w:val="Zpat"/>
    </w:pPr>
  </w:p>
  <w:p w14:paraId="5A210509" w14:textId="2B4DD7C1" w:rsidR="00D61AE1" w:rsidRPr="000C2ED6" w:rsidRDefault="00D61AE1" w:rsidP="000C2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7C4F" w14:textId="77777777" w:rsidR="00B71D2E" w:rsidRDefault="00B71D2E" w:rsidP="006928DE">
      <w:pPr>
        <w:spacing w:after="0" w:line="240" w:lineRule="auto"/>
      </w:pPr>
      <w:r>
        <w:separator/>
      </w:r>
    </w:p>
    <w:p w14:paraId="6860C108" w14:textId="77777777" w:rsidR="00B71D2E" w:rsidRDefault="00B71D2E"/>
  </w:footnote>
  <w:footnote w:type="continuationSeparator" w:id="0">
    <w:p w14:paraId="6A7148AA" w14:textId="77777777" w:rsidR="00B71D2E" w:rsidRDefault="00B71D2E" w:rsidP="006928DE">
      <w:pPr>
        <w:spacing w:after="0" w:line="240" w:lineRule="auto"/>
      </w:pPr>
      <w:r>
        <w:continuationSeparator/>
      </w:r>
    </w:p>
    <w:p w14:paraId="16FD8677" w14:textId="77777777" w:rsidR="00B71D2E" w:rsidRDefault="00B71D2E"/>
  </w:footnote>
  <w:footnote w:id="1">
    <w:p w14:paraId="35F41A23" w14:textId="2B6475BC" w:rsidR="004A5B9E" w:rsidRDefault="004A5B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5B9E">
        <w:t>Čistá spotřeba očištěná o vlastní spotřebu na výrobu elektřiny, ztráty a spotřebu elektřiny na přečerpávání. Také v případě výroby jsou uváděné hodnoty netto, bez technologické vlastní spotřeby elektřiny a ztrát vzniklých při výrobě.</w:t>
      </w:r>
    </w:p>
    <w:p w14:paraId="17351A5B" w14:textId="77777777" w:rsidR="004A5B9E" w:rsidRDefault="004A5B9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11C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E81EA" wp14:editId="08CAD989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59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.5pt;height:6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53048">
    <w:abstractNumId w:val="1"/>
  </w:num>
  <w:num w:numId="2" w16cid:durableId="1772773731">
    <w:abstractNumId w:val="1"/>
  </w:num>
  <w:num w:numId="3" w16cid:durableId="440950597">
    <w:abstractNumId w:val="1"/>
  </w:num>
  <w:num w:numId="4" w16cid:durableId="1057818839">
    <w:abstractNumId w:val="1"/>
  </w:num>
  <w:num w:numId="5" w16cid:durableId="808666786">
    <w:abstractNumId w:val="1"/>
  </w:num>
  <w:num w:numId="6" w16cid:durableId="1912694596">
    <w:abstractNumId w:val="1"/>
  </w:num>
  <w:num w:numId="7" w16cid:durableId="1882940545">
    <w:abstractNumId w:val="0"/>
  </w:num>
  <w:num w:numId="8" w16cid:durableId="104423845">
    <w:abstractNumId w:val="4"/>
  </w:num>
  <w:num w:numId="9" w16cid:durableId="2008559512">
    <w:abstractNumId w:val="6"/>
  </w:num>
  <w:num w:numId="10" w16cid:durableId="1410466961">
    <w:abstractNumId w:val="5"/>
  </w:num>
  <w:num w:numId="11" w16cid:durableId="188376019">
    <w:abstractNumId w:val="3"/>
  </w:num>
  <w:num w:numId="12" w16cid:durableId="4090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34F16"/>
    <w:rsid w:val="00042B20"/>
    <w:rsid w:val="00047AC2"/>
    <w:rsid w:val="000508A5"/>
    <w:rsid w:val="000508BF"/>
    <w:rsid w:val="000571CB"/>
    <w:rsid w:val="000628D5"/>
    <w:rsid w:val="00062A3B"/>
    <w:rsid w:val="000650B6"/>
    <w:rsid w:val="00066179"/>
    <w:rsid w:val="000705E5"/>
    <w:rsid w:val="00071182"/>
    <w:rsid w:val="00072105"/>
    <w:rsid w:val="00075E41"/>
    <w:rsid w:val="00085D46"/>
    <w:rsid w:val="000A084F"/>
    <w:rsid w:val="000A28BD"/>
    <w:rsid w:val="000B178E"/>
    <w:rsid w:val="000B2ACF"/>
    <w:rsid w:val="000B7574"/>
    <w:rsid w:val="000C173C"/>
    <w:rsid w:val="000C2D3B"/>
    <w:rsid w:val="000C2ED6"/>
    <w:rsid w:val="000C616C"/>
    <w:rsid w:val="000D1F5E"/>
    <w:rsid w:val="000D6B86"/>
    <w:rsid w:val="000D79FE"/>
    <w:rsid w:val="000E79F0"/>
    <w:rsid w:val="000F5202"/>
    <w:rsid w:val="000F75D7"/>
    <w:rsid w:val="000F7C3A"/>
    <w:rsid w:val="00104721"/>
    <w:rsid w:val="00107692"/>
    <w:rsid w:val="00111118"/>
    <w:rsid w:val="00111DAC"/>
    <w:rsid w:val="00113E51"/>
    <w:rsid w:val="00114B4B"/>
    <w:rsid w:val="001211F8"/>
    <w:rsid w:val="001252D3"/>
    <w:rsid w:val="00126AE7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96C0C"/>
    <w:rsid w:val="001A1EFF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4267"/>
    <w:rsid w:val="001E6C42"/>
    <w:rsid w:val="002018AF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0DC2"/>
    <w:rsid w:val="00291742"/>
    <w:rsid w:val="00291FF6"/>
    <w:rsid w:val="002945B0"/>
    <w:rsid w:val="0029689D"/>
    <w:rsid w:val="002A0E6F"/>
    <w:rsid w:val="002A31D6"/>
    <w:rsid w:val="002B064F"/>
    <w:rsid w:val="002B105B"/>
    <w:rsid w:val="002B351D"/>
    <w:rsid w:val="002B671C"/>
    <w:rsid w:val="002C228A"/>
    <w:rsid w:val="002C3216"/>
    <w:rsid w:val="002C42C1"/>
    <w:rsid w:val="002C6EC3"/>
    <w:rsid w:val="002D293D"/>
    <w:rsid w:val="002D63FB"/>
    <w:rsid w:val="002E12A6"/>
    <w:rsid w:val="002E2BEA"/>
    <w:rsid w:val="002F0AB8"/>
    <w:rsid w:val="002F21F3"/>
    <w:rsid w:val="002F245E"/>
    <w:rsid w:val="00300D31"/>
    <w:rsid w:val="003034B9"/>
    <w:rsid w:val="0030742A"/>
    <w:rsid w:val="00310A30"/>
    <w:rsid w:val="003203F3"/>
    <w:rsid w:val="00323B5E"/>
    <w:rsid w:val="00323EDA"/>
    <w:rsid w:val="00324E63"/>
    <w:rsid w:val="00332C3A"/>
    <w:rsid w:val="00334280"/>
    <w:rsid w:val="0033462F"/>
    <w:rsid w:val="00337693"/>
    <w:rsid w:val="00342BB2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671C"/>
    <w:rsid w:val="003B79F6"/>
    <w:rsid w:val="003C1370"/>
    <w:rsid w:val="003C59C1"/>
    <w:rsid w:val="003D123E"/>
    <w:rsid w:val="003D3F72"/>
    <w:rsid w:val="003D68A7"/>
    <w:rsid w:val="003D72D7"/>
    <w:rsid w:val="003F00F7"/>
    <w:rsid w:val="003F04A5"/>
    <w:rsid w:val="00404D67"/>
    <w:rsid w:val="004053E5"/>
    <w:rsid w:val="00407E74"/>
    <w:rsid w:val="00411947"/>
    <w:rsid w:val="0041575C"/>
    <w:rsid w:val="00415E5E"/>
    <w:rsid w:val="00425F78"/>
    <w:rsid w:val="00430781"/>
    <w:rsid w:val="00432954"/>
    <w:rsid w:val="00435680"/>
    <w:rsid w:val="00437185"/>
    <w:rsid w:val="004401AA"/>
    <w:rsid w:val="00441A0B"/>
    <w:rsid w:val="00443715"/>
    <w:rsid w:val="00456A0D"/>
    <w:rsid w:val="00456F42"/>
    <w:rsid w:val="0045762D"/>
    <w:rsid w:val="00461344"/>
    <w:rsid w:val="004736D9"/>
    <w:rsid w:val="00476642"/>
    <w:rsid w:val="00483BAC"/>
    <w:rsid w:val="00484C81"/>
    <w:rsid w:val="004865D2"/>
    <w:rsid w:val="00486CE8"/>
    <w:rsid w:val="004A0763"/>
    <w:rsid w:val="004A0E44"/>
    <w:rsid w:val="004A3810"/>
    <w:rsid w:val="004A391F"/>
    <w:rsid w:val="004A5B9E"/>
    <w:rsid w:val="004A7CD2"/>
    <w:rsid w:val="004B1789"/>
    <w:rsid w:val="004B5667"/>
    <w:rsid w:val="004C17C1"/>
    <w:rsid w:val="004C2271"/>
    <w:rsid w:val="004C77D9"/>
    <w:rsid w:val="004D1507"/>
    <w:rsid w:val="004D1A6B"/>
    <w:rsid w:val="004D27B7"/>
    <w:rsid w:val="004E267E"/>
    <w:rsid w:val="004E7AE6"/>
    <w:rsid w:val="004F1530"/>
    <w:rsid w:val="004F3140"/>
    <w:rsid w:val="004F5CD5"/>
    <w:rsid w:val="004F751F"/>
    <w:rsid w:val="005019F6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6E05"/>
    <w:rsid w:val="005772E9"/>
    <w:rsid w:val="005806CD"/>
    <w:rsid w:val="00581A7E"/>
    <w:rsid w:val="00590B03"/>
    <w:rsid w:val="00591F7E"/>
    <w:rsid w:val="005A51F1"/>
    <w:rsid w:val="005B0EF4"/>
    <w:rsid w:val="005C317E"/>
    <w:rsid w:val="005C6331"/>
    <w:rsid w:val="005D0682"/>
    <w:rsid w:val="005D1E40"/>
    <w:rsid w:val="005D5F4D"/>
    <w:rsid w:val="005D6010"/>
    <w:rsid w:val="005D6096"/>
    <w:rsid w:val="005E7A32"/>
    <w:rsid w:val="005F28CE"/>
    <w:rsid w:val="005F3045"/>
    <w:rsid w:val="005F7BF4"/>
    <w:rsid w:val="00600FA7"/>
    <w:rsid w:val="0061012B"/>
    <w:rsid w:val="006152C3"/>
    <w:rsid w:val="006207F2"/>
    <w:rsid w:val="00622B4E"/>
    <w:rsid w:val="00626B39"/>
    <w:rsid w:val="00641069"/>
    <w:rsid w:val="00647369"/>
    <w:rsid w:val="00653A74"/>
    <w:rsid w:val="006548AF"/>
    <w:rsid w:val="00655B6D"/>
    <w:rsid w:val="00656709"/>
    <w:rsid w:val="00685617"/>
    <w:rsid w:val="0068633B"/>
    <w:rsid w:val="006928DE"/>
    <w:rsid w:val="006957FD"/>
    <w:rsid w:val="00695C15"/>
    <w:rsid w:val="00696E22"/>
    <w:rsid w:val="006A2F62"/>
    <w:rsid w:val="006A54FA"/>
    <w:rsid w:val="006A7D9E"/>
    <w:rsid w:val="006B3232"/>
    <w:rsid w:val="006B5839"/>
    <w:rsid w:val="006C2C22"/>
    <w:rsid w:val="006C306F"/>
    <w:rsid w:val="006C3B5D"/>
    <w:rsid w:val="006C5D01"/>
    <w:rsid w:val="006D34F8"/>
    <w:rsid w:val="006D3FFE"/>
    <w:rsid w:val="006D5FE2"/>
    <w:rsid w:val="006D6216"/>
    <w:rsid w:val="006D6A1E"/>
    <w:rsid w:val="006E71F3"/>
    <w:rsid w:val="006F48B6"/>
    <w:rsid w:val="006F76EA"/>
    <w:rsid w:val="00707A20"/>
    <w:rsid w:val="00707C91"/>
    <w:rsid w:val="0071179F"/>
    <w:rsid w:val="00715FDD"/>
    <w:rsid w:val="00721FB1"/>
    <w:rsid w:val="00722104"/>
    <w:rsid w:val="00722D30"/>
    <w:rsid w:val="00732957"/>
    <w:rsid w:val="00740C0C"/>
    <w:rsid w:val="00743676"/>
    <w:rsid w:val="00743FFD"/>
    <w:rsid w:val="00750A3E"/>
    <w:rsid w:val="00750CB9"/>
    <w:rsid w:val="00760BF7"/>
    <w:rsid w:val="007632F1"/>
    <w:rsid w:val="007644E7"/>
    <w:rsid w:val="00785109"/>
    <w:rsid w:val="00787460"/>
    <w:rsid w:val="007918ED"/>
    <w:rsid w:val="007977DF"/>
    <w:rsid w:val="007A3624"/>
    <w:rsid w:val="007A5FE4"/>
    <w:rsid w:val="007B178E"/>
    <w:rsid w:val="007C139C"/>
    <w:rsid w:val="007C14BE"/>
    <w:rsid w:val="007C4982"/>
    <w:rsid w:val="007C5374"/>
    <w:rsid w:val="007C6346"/>
    <w:rsid w:val="007C6355"/>
    <w:rsid w:val="007D781F"/>
    <w:rsid w:val="007E0BE4"/>
    <w:rsid w:val="007E49C3"/>
    <w:rsid w:val="007E4A14"/>
    <w:rsid w:val="007F41FA"/>
    <w:rsid w:val="007F5352"/>
    <w:rsid w:val="007F5CA1"/>
    <w:rsid w:val="007F7320"/>
    <w:rsid w:val="007F735B"/>
    <w:rsid w:val="008021A3"/>
    <w:rsid w:val="00802B09"/>
    <w:rsid w:val="00804F55"/>
    <w:rsid w:val="00806A75"/>
    <w:rsid w:val="008142BC"/>
    <w:rsid w:val="008150F6"/>
    <w:rsid w:val="00824B9D"/>
    <w:rsid w:val="00832840"/>
    <w:rsid w:val="008407F1"/>
    <w:rsid w:val="00843945"/>
    <w:rsid w:val="008449F1"/>
    <w:rsid w:val="008510ED"/>
    <w:rsid w:val="008565E2"/>
    <w:rsid w:val="00856776"/>
    <w:rsid w:val="008752BD"/>
    <w:rsid w:val="00883CB7"/>
    <w:rsid w:val="00887234"/>
    <w:rsid w:val="00887407"/>
    <w:rsid w:val="00890D24"/>
    <w:rsid w:val="00893114"/>
    <w:rsid w:val="00895896"/>
    <w:rsid w:val="008A5083"/>
    <w:rsid w:val="008A5357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37E53"/>
    <w:rsid w:val="00941E72"/>
    <w:rsid w:val="009455D9"/>
    <w:rsid w:val="009677FD"/>
    <w:rsid w:val="00967F08"/>
    <w:rsid w:val="009725E7"/>
    <w:rsid w:val="00982205"/>
    <w:rsid w:val="00982CAF"/>
    <w:rsid w:val="00983ADE"/>
    <w:rsid w:val="00985FCB"/>
    <w:rsid w:val="00992336"/>
    <w:rsid w:val="00992994"/>
    <w:rsid w:val="009938A0"/>
    <w:rsid w:val="00996E3A"/>
    <w:rsid w:val="009971AC"/>
    <w:rsid w:val="00997B63"/>
    <w:rsid w:val="009A0BC2"/>
    <w:rsid w:val="009A5ED4"/>
    <w:rsid w:val="009A6B6C"/>
    <w:rsid w:val="009A6EB8"/>
    <w:rsid w:val="009B0F19"/>
    <w:rsid w:val="009B7E1F"/>
    <w:rsid w:val="009C33A8"/>
    <w:rsid w:val="009C7AA4"/>
    <w:rsid w:val="009D1EC7"/>
    <w:rsid w:val="009D5C4F"/>
    <w:rsid w:val="009D6024"/>
    <w:rsid w:val="009E259B"/>
    <w:rsid w:val="009E4FD9"/>
    <w:rsid w:val="009E67FD"/>
    <w:rsid w:val="009E7F88"/>
    <w:rsid w:val="009F0FAF"/>
    <w:rsid w:val="009F3078"/>
    <w:rsid w:val="009F3EE7"/>
    <w:rsid w:val="009F6110"/>
    <w:rsid w:val="009F64B4"/>
    <w:rsid w:val="00A007C7"/>
    <w:rsid w:val="00A06A8B"/>
    <w:rsid w:val="00A115A8"/>
    <w:rsid w:val="00A125A8"/>
    <w:rsid w:val="00A237E8"/>
    <w:rsid w:val="00A36EF8"/>
    <w:rsid w:val="00A41D44"/>
    <w:rsid w:val="00A4541D"/>
    <w:rsid w:val="00A466E0"/>
    <w:rsid w:val="00A5289A"/>
    <w:rsid w:val="00A55E42"/>
    <w:rsid w:val="00A579C4"/>
    <w:rsid w:val="00A65443"/>
    <w:rsid w:val="00A66974"/>
    <w:rsid w:val="00A67729"/>
    <w:rsid w:val="00A7133D"/>
    <w:rsid w:val="00A72268"/>
    <w:rsid w:val="00A73BA0"/>
    <w:rsid w:val="00A753C0"/>
    <w:rsid w:val="00A764DE"/>
    <w:rsid w:val="00A83DC3"/>
    <w:rsid w:val="00A83E3E"/>
    <w:rsid w:val="00A861B2"/>
    <w:rsid w:val="00A8734E"/>
    <w:rsid w:val="00A90649"/>
    <w:rsid w:val="00A92427"/>
    <w:rsid w:val="00A927BE"/>
    <w:rsid w:val="00A92C39"/>
    <w:rsid w:val="00A952DD"/>
    <w:rsid w:val="00A97F12"/>
    <w:rsid w:val="00AA09C1"/>
    <w:rsid w:val="00AA557B"/>
    <w:rsid w:val="00AA60BE"/>
    <w:rsid w:val="00AB015F"/>
    <w:rsid w:val="00AB1251"/>
    <w:rsid w:val="00AB31DB"/>
    <w:rsid w:val="00AB5FCF"/>
    <w:rsid w:val="00AC1CB1"/>
    <w:rsid w:val="00AC3885"/>
    <w:rsid w:val="00AC7773"/>
    <w:rsid w:val="00AD46CB"/>
    <w:rsid w:val="00AD712D"/>
    <w:rsid w:val="00AE1652"/>
    <w:rsid w:val="00AE3974"/>
    <w:rsid w:val="00AF04AA"/>
    <w:rsid w:val="00AF4083"/>
    <w:rsid w:val="00B0005F"/>
    <w:rsid w:val="00B02882"/>
    <w:rsid w:val="00B130C4"/>
    <w:rsid w:val="00B14B69"/>
    <w:rsid w:val="00B15811"/>
    <w:rsid w:val="00B201B2"/>
    <w:rsid w:val="00B26F30"/>
    <w:rsid w:val="00B30F9B"/>
    <w:rsid w:val="00B43E2B"/>
    <w:rsid w:val="00B47C91"/>
    <w:rsid w:val="00B50867"/>
    <w:rsid w:val="00B50A58"/>
    <w:rsid w:val="00B52210"/>
    <w:rsid w:val="00B60595"/>
    <w:rsid w:val="00B60AF5"/>
    <w:rsid w:val="00B6105B"/>
    <w:rsid w:val="00B640C3"/>
    <w:rsid w:val="00B67FBD"/>
    <w:rsid w:val="00B712D6"/>
    <w:rsid w:val="00B71D2E"/>
    <w:rsid w:val="00B762B1"/>
    <w:rsid w:val="00B76624"/>
    <w:rsid w:val="00B77963"/>
    <w:rsid w:val="00B80613"/>
    <w:rsid w:val="00B84FE2"/>
    <w:rsid w:val="00B87185"/>
    <w:rsid w:val="00B96AED"/>
    <w:rsid w:val="00BA1071"/>
    <w:rsid w:val="00BA63F0"/>
    <w:rsid w:val="00BB0CF9"/>
    <w:rsid w:val="00BB441F"/>
    <w:rsid w:val="00BB4CBA"/>
    <w:rsid w:val="00BB532D"/>
    <w:rsid w:val="00BB55B4"/>
    <w:rsid w:val="00BD3C29"/>
    <w:rsid w:val="00BD47DA"/>
    <w:rsid w:val="00BD646A"/>
    <w:rsid w:val="00BD6C91"/>
    <w:rsid w:val="00BE0667"/>
    <w:rsid w:val="00BE479C"/>
    <w:rsid w:val="00BE6C76"/>
    <w:rsid w:val="00BF07A8"/>
    <w:rsid w:val="00BF47A7"/>
    <w:rsid w:val="00BF757E"/>
    <w:rsid w:val="00BF7DEB"/>
    <w:rsid w:val="00C00F09"/>
    <w:rsid w:val="00C0388C"/>
    <w:rsid w:val="00C06712"/>
    <w:rsid w:val="00C06CC4"/>
    <w:rsid w:val="00C06D90"/>
    <w:rsid w:val="00C15057"/>
    <w:rsid w:val="00C20522"/>
    <w:rsid w:val="00C22381"/>
    <w:rsid w:val="00C223D9"/>
    <w:rsid w:val="00C22ED6"/>
    <w:rsid w:val="00C242B1"/>
    <w:rsid w:val="00C25365"/>
    <w:rsid w:val="00C258C9"/>
    <w:rsid w:val="00C27155"/>
    <w:rsid w:val="00C346AA"/>
    <w:rsid w:val="00C40DFC"/>
    <w:rsid w:val="00C4433F"/>
    <w:rsid w:val="00C444A3"/>
    <w:rsid w:val="00C52EA4"/>
    <w:rsid w:val="00C55B5D"/>
    <w:rsid w:val="00C56C60"/>
    <w:rsid w:val="00C575AA"/>
    <w:rsid w:val="00C604C6"/>
    <w:rsid w:val="00C6150B"/>
    <w:rsid w:val="00C62956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5C16"/>
    <w:rsid w:val="00CB61D5"/>
    <w:rsid w:val="00CC1122"/>
    <w:rsid w:val="00CC4D9F"/>
    <w:rsid w:val="00CC7906"/>
    <w:rsid w:val="00CD2126"/>
    <w:rsid w:val="00CD6214"/>
    <w:rsid w:val="00CD7553"/>
    <w:rsid w:val="00CF2367"/>
    <w:rsid w:val="00CF27D4"/>
    <w:rsid w:val="00CF3FD8"/>
    <w:rsid w:val="00CF588E"/>
    <w:rsid w:val="00D151E5"/>
    <w:rsid w:val="00D1584E"/>
    <w:rsid w:val="00D176C0"/>
    <w:rsid w:val="00D26113"/>
    <w:rsid w:val="00D339D6"/>
    <w:rsid w:val="00D34002"/>
    <w:rsid w:val="00D3400E"/>
    <w:rsid w:val="00D3434A"/>
    <w:rsid w:val="00D364AA"/>
    <w:rsid w:val="00D4023C"/>
    <w:rsid w:val="00D40733"/>
    <w:rsid w:val="00D42206"/>
    <w:rsid w:val="00D514E4"/>
    <w:rsid w:val="00D52D32"/>
    <w:rsid w:val="00D52FE4"/>
    <w:rsid w:val="00D534C7"/>
    <w:rsid w:val="00D61AE1"/>
    <w:rsid w:val="00D62462"/>
    <w:rsid w:val="00D67EE8"/>
    <w:rsid w:val="00D67FAC"/>
    <w:rsid w:val="00D713A7"/>
    <w:rsid w:val="00D763EA"/>
    <w:rsid w:val="00D7644C"/>
    <w:rsid w:val="00D8185B"/>
    <w:rsid w:val="00D820FF"/>
    <w:rsid w:val="00D94B77"/>
    <w:rsid w:val="00DA302C"/>
    <w:rsid w:val="00DA3158"/>
    <w:rsid w:val="00DA386C"/>
    <w:rsid w:val="00DA52F5"/>
    <w:rsid w:val="00DB054C"/>
    <w:rsid w:val="00DB1A8C"/>
    <w:rsid w:val="00DB4041"/>
    <w:rsid w:val="00DC1880"/>
    <w:rsid w:val="00DC3A03"/>
    <w:rsid w:val="00DC4666"/>
    <w:rsid w:val="00DD13D6"/>
    <w:rsid w:val="00DD5290"/>
    <w:rsid w:val="00DD6252"/>
    <w:rsid w:val="00DE6745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39B8"/>
    <w:rsid w:val="00E5491F"/>
    <w:rsid w:val="00E54A42"/>
    <w:rsid w:val="00E57B6D"/>
    <w:rsid w:val="00E57EBD"/>
    <w:rsid w:val="00E60B8F"/>
    <w:rsid w:val="00E60E33"/>
    <w:rsid w:val="00E622EB"/>
    <w:rsid w:val="00E65735"/>
    <w:rsid w:val="00E6749C"/>
    <w:rsid w:val="00E710EF"/>
    <w:rsid w:val="00E72E33"/>
    <w:rsid w:val="00E76E8B"/>
    <w:rsid w:val="00E770A6"/>
    <w:rsid w:val="00E8123B"/>
    <w:rsid w:val="00E82296"/>
    <w:rsid w:val="00E84F0E"/>
    <w:rsid w:val="00E97C66"/>
    <w:rsid w:val="00EA04E6"/>
    <w:rsid w:val="00EA1384"/>
    <w:rsid w:val="00EA262F"/>
    <w:rsid w:val="00EA2B2F"/>
    <w:rsid w:val="00EA32E1"/>
    <w:rsid w:val="00EB0AA6"/>
    <w:rsid w:val="00EB5CB3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22AD4"/>
    <w:rsid w:val="00F268A0"/>
    <w:rsid w:val="00F30640"/>
    <w:rsid w:val="00F336B5"/>
    <w:rsid w:val="00F33812"/>
    <w:rsid w:val="00F4225E"/>
    <w:rsid w:val="00F54B12"/>
    <w:rsid w:val="00F6270A"/>
    <w:rsid w:val="00F72346"/>
    <w:rsid w:val="00F73427"/>
    <w:rsid w:val="00F84168"/>
    <w:rsid w:val="00F86961"/>
    <w:rsid w:val="00F876CA"/>
    <w:rsid w:val="00F878B2"/>
    <w:rsid w:val="00F93C69"/>
    <w:rsid w:val="00FA024A"/>
    <w:rsid w:val="00FB3208"/>
    <w:rsid w:val="00FB3675"/>
    <w:rsid w:val="00FB6439"/>
    <w:rsid w:val="00FC37F2"/>
    <w:rsid w:val="00FC54E6"/>
    <w:rsid w:val="00FD0140"/>
    <w:rsid w:val="00FD1338"/>
    <w:rsid w:val="00FD3BE0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972"/>
  <w15:docId w15:val="{741F8D48-B2C4-48A9-87D4-9C2B2C9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2C3216"/>
  </w:style>
  <w:style w:type="character" w:styleId="Sledovanodkaz">
    <w:name w:val="FollowedHyperlink"/>
    <w:basedOn w:val="Standardnpsmoodstavce"/>
    <w:uiPriority w:val="99"/>
    <w:semiHidden/>
    <w:unhideWhenUsed/>
    <w:rsid w:val="00A06A8B"/>
    <w:rPr>
      <w:color w:val="E02C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zpravy-o-provozu?odvetvi=All&amp;druh=34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48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Zjednodušený dokument - Na výšku</vt:lpstr>
      <vt:lpstr>Spotřeba energií v roce 2025 vzrostla </vt:lpstr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dc:description/>
  <cp:lastModifiedBy>Hamrník Jan Mgr.</cp:lastModifiedBy>
  <cp:revision>6</cp:revision>
  <cp:lastPrinted>2026-02-18T08:27:00Z</cp:lastPrinted>
  <dcterms:created xsi:type="dcterms:W3CDTF">2026-02-17T10:28:00Z</dcterms:created>
  <dcterms:modified xsi:type="dcterms:W3CDTF">2026-02-18T08:32:00Z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