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91777" w14:textId="77777777" w:rsidR="008510ED" w:rsidRPr="00581A7E" w:rsidRDefault="004865D2" w:rsidP="008510ED">
      <w:pPr>
        <w:pStyle w:val="NadpisX"/>
        <w:tabs>
          <w:tab w:val="clear" w:pos="851"/>
          <w:tab w:val="left" w:pos="1276"/>
        </w:tabs>
        <w:spacing w:before="0" w:after="120"/>
        <w:rPr>
          <w:sz w:val="28"/>
          <w:szCs w:val="28"/>
        </w:rPr>
      </w:pPr>
      <w:bookmarkStart w:id="0" w:name="_GoBack"/>
      <w:bookmarkEnd w:id="0"/>
      <w:r w:rsidRPr="00581A7E">
        <w:rPr>
          <w:sz w:val="28"/>
          <w:szCs w:val="28"/>
        </w:rPr>
        <w:t>ERÚ</w:t>
      </w:r>
      <w:r w:rsidR="00A31ED7">
        <w:rPr>
          <w:sz w:val="28"/>
          <w:szCs w:val="28"/>
        </w:rPr>
        <w:t xml:space="preserve"> </w:t>
      </w:r>
      <w:r w:rsidR="00CA7583">
        <w:rPr>
          <w:sz w:val="28"/>
          <w:szCs w:val="28"/>
        </w:rPr>
        <w:t>vydal změnový cenový výměr,</w:t>
      </w:r>
      <w:r w:rsidR="00CA7583">
        <w:rPr>
          <w:sz w:val="28"/>
          <w:szCs w:val="28"/>
        </w:rPr>
        <w:br/>
      </w:r>
      <w:r w:rsidR="00A31ED7">
        <w:rPr>
          <w:sz w:val="28"/>
          <w:szCs w:val="28"/>
        </w:rPr>
        <w:t>kter</w:t>
      </w:r>
      <w:r w:rsidR="00856364">
        <w:rPr>
          <w:sz w:val="28"/>
          <w:szCs w:val="28"/>
        </w:rPr>
        <w:t>ým</w:t>
      </w:r>
      <w:r w:rsidR="00A31ED7">
        <w:rPr>
          <w:sz w:val="28"/>
          <w:szCs w:val="28"/>
        </w:rPr>
        <w:t xml:space="preserve"> </w:t>
      </w:r>
      <w:r w:rsidR="00CA7583">
        <w:rPr>
          <w:sz w:val="28"/>
          <w:szCs w:val="28"/>
        </w:rPr>
        <w:t xml:space="preserve">upravuje </w:t>
      </w:r>
      <w:r w:rsidR="00A31ED7">
        <w:rPr>
          <w:sz w:val="28"/>
          <w:szCs w:val="28"/>
        </w:rPr>
        <w:t>regulované ceny elektřiny</w:t>
      </w:r>
      <w:r w:rsidR="00CA7583">
        <w:rPr>
          <w:sz w:val="28"/>
          <w:szCs w:val="28"/>
        </w:rPr>
        <w:t xml:space="preserve"> na rok 2026</w:t>
      </w:r>
    </w:p>
    <w:p w14:paraId="7595E37A" w14:textId="77777777" w:rsidR="008510ED" w:rsidRPr="00581A7E" w:rsidRDefault="008510ED" w:rsidP="008510ED">
      <w:pPr>
        <w:spacing w:after="180"/>
        <w:rPr>
          <w:lang w:eastAsia="en-US"/>
        </w:rPr>
        <w:sectPr w:rsidR="008510ED" w:rsidRPr="00581A7E" w:rsidSect="00AE1652">
          <w:headerReference w:type="default" r:id="rId11"/>
          <w:footerReference w:type="default" r:id="rId12"/>
          <w:type w:val="continuous"/>
          <w:pgSz w:w="11906" w:h="16838" w:code="9"/>
          <w:pgMar w:top="1843" w:right="851" w:bottom="1134" w:left="851" w:header="0" w:footer="0" w:gutter="0"/>
          <w:pgNumType w:start="1"/>
          <w:cols w:space="708"/>
          <w:docGrid w:linePitch="360"/>
        </w:sectPr>
      </w:pPr>
      <w:r w:rsidRPr="00581A7E">
        <w:rPr>
          <w:lang w:eastAsia="en-US"/>
        </w:rPr>
        <w:t xml:space="preserve">Tisková zpráva, </w:t>
      </w:r>
      <w:r w:rsidR="00CA7583">
        <w:rPr>
          <w:lang w:eastAsia="en-US"/>
        </w:rPr>
        <w:t>29</w:t>
      </w:r>
      <w:r w:rsidRPr="00581A7E">
        <w:rPr>
          <w:lang w:eastAsia="en-US"/>
        </w:rPr>
        <w:t>.</w:t>
      </w:r>
      <w:r w:rsidR="004865D2" w:rsidRPr="00581A7E">
        <w:rPr>
          <w:lang w:eastAsia="en-US"/>
        </w:rPr>
        <w:t>1</w:t>
      </w:r>
      <w:r w:rsidR="00A31ED7">
        <w:rPr>
          <w:lang w:eastAsia="en-US"/>
        </w:rPr>
        <w:t>2</w:t>
      </w:r>
      <w:r w:rsidRPr="00581A7E">
        <w:rPr>
          <w:lang w:eastAsia="en-US"/>
        </w:rPr>
        <w:t>.2025</w:t>
      </w:r>
    </w:p>
    <w:p w14:paraId="1244C8D1" w14:textId="41F86F8C" w:rsidR="008510ED" w:rsidRPr="00581A7E" w:rsidRDefault="00A31ED7" w:rsidP="00017405">
      <w:pPr>
        <w:spacing w:after="240"/>
        <w:jc w:val="both"/>
        <w:rPr>
          <w:b/>
          <w:i/>
        </w:rPr>
      </w:pPr>
      <w:r>
        <w:rPr>
          <w:b/>
          <w:i/>
        </w:rPr>
        <w:t xml:space="preserve">Energetický regulační úřad </w:t>
      </w:r>
      <w:r w:rsidR="00183610">
        <w:rPr>
          <w:b/>
          <w:i/>
        </w:rPr>
        <w:t xml:space="preserve">(ERÚ) </w:t>
      </w:r>
      <w:r w:rsidR="00CA7583">
        <w:rPr>
          <w:b/>
          <w:i/>
        </w:rPr>
        <w:t>vydal změnový cenový výměr, kterým snižuje regulované ceny elektřiny pro příští rok. Změnový cenový výměr vychází v návaznosti na usnesení</w:t>
      </w:r>
      <w:r w:rsidR="002A2303">
        <w:rPr>
          <w:b/>
          <w:i/>
        </w:rPr>
        <w:t xml:space="preserve"> vlády</w:t>
      </w:r>
      <w:r w:rsidR="001E1549">
        <w:rPr>
          <w:b/>
          <w:i/>
        </w:rPr>
        <w:t xml:space="preserve">, kterým </w:t>
      </w:r>
      <w:r w:rsidR="002A2303">
        <w:rPr>
          <w:b/>
          <w:i/>
        </w:rPr>
        <w:t>přechází</w:t>
      </w:r>
      <w:r w:rsidR="00CA7583">
        <w:rPr>
          <w:b/>
          <w:i/>
        </w:rPr>
        <w:t xml:space="preserve"> </w:t>
      </w:r>
      <w:r w:rsidR="00C71BD5">
        <w:rPr>
          <w:b/>
          <w:i/>
        </w:rPr>
        <w:t xml:space="preserve">financování provozní podpory </w:t>
      </w:r>
      <w:r w:rsidR="00CA7583">
        <w:rPr>
          <w:b/>
          <w:i/>
        </w:rPr>
        <w:t>podporovan</w:t>
      </w:r>
      <w:r w:rsidR="002A2303">
        <w:rPr>
          <w:b/>
          <w:i/>
        </w:rPr>
        <w:t>ých</w:t>
      </w:r>
      <w:r w:rsidR="00CA7583">
        <w:rPr>
          <w:b/>
          <w:i/>
        </w:rPr>
        <w:t xml:space="preserve"> zdroj</w:t>
      </w:r>
      <w:r w:rsidR="002A2303">
        <w:rPr>
          <w:b/>
          <w:i/>
        </w:rPr>
        <w:t>ů</w:t>
      </w:r>
      <w:r w:rsidR="00CA7583">
        <w:rPr>
          <w:b/>
          <w:i/>
        </w:rPr>
        <w:t xml:space="preserve"> energie (POZE) na stát. Díky této změně</w:t>
      </w:r>
      <w:r w:rsidR="002A2303">
        <w:rPr>
          <w:b/>
          <w:i/>
        </w:rPr>
        <w:t xml:space="preserve"> </w:t>
      </w:r>
      <w:r w:rsidR="00CA7583">
        <w:rPr>
          <w:b/>
          <w:i/>
        </w:rPr>
        <w:t xml:space="preserve">nebudou odběratelé </w:t>
      </w:r>
      <w:r w:rsidR="002A2303">
        <w:rPr>
          <w:b/>
          <w:i/>
        </w:rPr>
        <w:t xml:space="preserve">již od 1. ledna 2026 </w:t>
      </w:r>
      <w:r w:rsidR="00CA7583">
        <w:rPr>
          <w:b/>
          <w:i/>
        </w:rPr>
        <w:t>v regulované složce ceny elektřiny platit žádné příspěvky na POZE.</w:t>
      </w:r>
    </w:p>
    <w:p w14:paraId="73D8B963" w14:textId="7FD85E55" w:rsidR="00CA7583" w:rsidRDefault="00CA7583" w:rsidP="00183610">
      <w:pPr>
        <w:spacing w:after="180"/>
        <w:jc w:val="both"/>
      </w:pPr>
      <w:r>
        <w:t>Původní cenové výměry, které mus</w:t>
      </w:r>
      <w:r w:rsidR="006B2A88">
        <w:t>el</w:t>
      </w:r>
      <w:r>
        <w:t xml:space="preserve"> ERÚ ze zákona vydat do konce listopadu, předpokládaly dotaci na POZE ze státního rozpočtu ve výši 24,6 miliardy korun</w:t>
      </w:r>
      <w:r w:rsidR="009C0D03">
        <w:t>. Zbývající část</w:t>
      </w:r>
      <w:r w:rsidR="0032020E">
        <w:t xml:space="preserve">, </w:t>
      </w:r>
      <w:r w:rsidR="006B2A88">
        <w:t xml:space="preserve">cca </w:t>
      </w:r>
      <w:r w:rsidR="0032020E">
        <w:t xml:space="preserve">17,1 miliardy korun, měli hradit odběratelé v rámci příspěvku na POZE, který je součástí regulované složky ceny elektřiny. </w:t>
      </w:r>
      <w:r w:rsidR="002A2303">
        <w:t xml:space="preserve">Vláda </w:t>
      </w:r>
      <w:r w:rsidR="0032020E">
        <w:t>1</w:t>
      </w:r>
      <w:r w:rsidR="00185A27">
        <w:t>6</w:t>
      </w:r>
      <w:r w:rsidR="0032020E">
        <w:t>. prosince 202</w:t>
      </w:r>
      <w:r w:rsidR="005B3608">
        <w:t>5</w:t>
      </w:r>
      <w:r w:rsidR="002A2303">
        <w:t xml:space="preserve"> </w:t>
      </w:r>
      <w:r w:rsidR="0032020E">
        <w:t xml:space="preserve">rozhodla o navýšení dotace ze státního rozpočtu tak, aby </w:t>
      </w:r>
      <w:r w:rsidR="00185A27">
        <w:t xml:space="preserve">pokryla náklady </w:t>
      </w:r>
      <w:r w:rsidR="0032020E">
        <w:t>na podporu POZE v plné výši</w:t>
      </w:r>
      <w:r w:rsidR="002A2303">
        <w:t xml:space="preserve">, čímž plně přenesla financování POZE na </w:t>
      </w:r>
      <w:r w:rsidR="00DE3452">
        <w:t>stát</w:t>
      </w:r>
      <w:r w:rsidR="0032020E">
        <w:t xml:space="preserve">. Ten samý den ERÚ zahájil </w:t>
      </w:r>
      <w:r w:rsidR="00DE3452">
        <w:t xml:space="preserve">povinný </w:t>
      </w:r>
      <w:r w:rsidR="0032020E">
        <w:t xml:space="preserve">veřejný konzultační proces ke změnovému cenovému rozhodnutí, které stanovuje nulové příspěvky na POZE ze strany </w:t>
      </w:r>
      <w:r w:rsidR="006B2A88">
        <w:t xml:space="preserve">všech </w:t>
      </w:r>
      <w:r w:rsidR="0032020E">
        <w:t>odběratelů.</w:t>
      </w:r>
    </w:p>
    <w:p w14:paraId="5C4D0565" w14:textId="507BA3C2" w:rsidR="0032020E" w:rsidRDefault="0032020E" w:rsidP="00183610">
      <w:pPr>
        <w:spacing w:after="180"/>
        <w:jc w:val="both"/>
      </w:pPr>
      <w:r w:rsidRPr="0032020E">
        <w:rPr>
          <w:i/>
        </w:rPr>
        <w:t>„</w:t>
      </w:r>
      <w:r w:rsidR="00DE3452">
        <w:rPr>
          <w:i/>
        </w:rPr>
        <w:t>Záměr přenést financování POZE na stát byl</w:t>
      </w:r>
      <w:r w:rsidRPr="0032020E">
        <w:rPr>
          <w:i/>
        </w:rPr>
        <w:t xml:space="preserve"> vládou avizován ještě před jejím nástupem do funkce, proto jsme </w:t>
      </w:r>
      <w:r w:rsidR="00DE3452">
        <w:rPr>
          <w:i/>
        </w:rPr>
        <w:t>byli</w:t>
      </w:r>
      <w:r w:rsidR="00C71BD5">
        <w:rPr>
          <w:i/>
        </w:rPr>
        <w:t xml:space="preserve"> na tuto změnu</w:t>
      </w:r>
      <w:r w:rsidR="00DE3452">
        <w:rPr>
          <w:i/>
        </w:rPr>
        <w:t xml:space="preserve"> připraveni</w:t>
      </w:r>
      <w:r w:rsidRPr="0032020E">
        <w:rPr>
          <w:i/>
        </w:rPr>
        <w:t xml:space="preserve">. Díky tomu, že nové usnesení stihla vláda přijmout hned na svém prvním </w:t>
      </w:r>
      <w:r w:rsidR="00654BA2">
        <w:rPr>
          <w:i/>
        </w:rPr>
        <w:t xml:space="preserve">řádném </w:t>
      </w:r>
      <w:r w:rsidRPr="0032020E">
        <w:rPr>
          <w:i/>
        </w:rPr>
        <w:t>zasedání, vydává ERÚ změnové cenové rozhodnutí ještě v tomto roce</w:t>
      </w:r>
      <w:r w:rsidR="001E1549">
        <w:rPr>
          <w:i/>
        </w:rPr>
        <w:t>,</w:t>
      </w:r>
      <w:r>
        <w:rPr>
          <w:i/>
        </w:rPr>
        <w:t xml:space="preserve"> a </w:t>
      </w:r>
      <w:r w:rsidRPr="0032020E">
        <w:rPr>
          <w:i/>
        </w:rPr>
        <w:t xml:space="preserve">nižší regulované ceny </w:t>
      </w:r>
      <w:r w:rsidR="001E1549">
        <w:rPr>
          <w:i/>
        </w:rPr>
        <w:t xml:space="preserve">tak </w:t>
      </w:r>
      <w:r>
        <w:rPr>
          <w:i/>
        </w:rPr>
        <w:t>budou</w:t>
      </w:r>
      <w:r w:rsidRPr="0032020E">
        <w:rPr>
          <w:i/>
        </w:rPr>
        <w:t xml:space="preserve"> odběratelé </w:t>
      </w:r>
      <w:r>
        <w:rPr>
          <w:i/>
        </w:rPr>
        <w:t xml:space="preserve">platit </w:t>
      </w:r>
      <w:r w:rsidR="00DE3452">
        <w:rPr>
          <w:i/>
        </w:rPr>
        <w:t>již</w:t>
      </w:r>
      <w:r w:rsidR="00DE3452" w:rsidRPr="0032020E">
        <w:rPr>
          <w:i/>
        </w:rPr>
        <w:t xml:space="preserve"> </w:t>
      </w:r>
      <w:r w:rsidRPr="0032020E">
        <w:rPr>
          <w:i/>
        </w:rPr>
        <w:t xml:space="preserve">od 1. ledna 2026,“ </w:t>
      </w:r>
      <w:r>
        <w:t xml:space="preserve">vysvětluje </w:t>
      </w:r>
      <w:r w:rsidRPr="0032020E">
        <w:rPr>
          <w:b/>
        </w:rPr>
        <w:t>Jan Šefránek, předseda ERÚ</w:t>
      </w:r>
      <w:r>
        <w:t>.</w:t>
      </w:r>
    </w:p>
    <w:p w14:paraId="11D4EC67" w14:textId="35E9D147" w:rsidR="00A703CE" w:rsidRDefault="00041F8E" w:rsidP="00A703CE">
      <w:pPr>
        <w:spacing w:after="180"/>
        <w:jc w:val="both"/>
      </w:pPr>
      <w:r>
        <w:t>Příspěvek na POZE v případě domácností dosahoval výše 495 Kč/MWh (bez DPH), což představuje významnou část z regulované ceny elektřiny. Přenesení této platby na stát znamená, že</w:t>
      </w:r>
      <w:r w:rsidR="00DE3452">
        <w:t xml:space="preserve"> celkové </w:t>
      </w:r>
      <w:r>
        <w:t xml:space="preserve">regulované ceny </w:t>
      </w:r>
      <w:r w:rsidR="00E379AC">
        <w:t xml:space="preserve">pro domácnosti </w:t>
      </w:r>
      <w:r w:rsidR="006B2A88">
        <w:t xml:space="preserve">od </w:t>
      </w:r>
      <w:r w:rsidR="005B3608">
        <w:t>N</w:t>
      </w:r>
      <w:r w:rsidR="006B2A88">
        <w:t xml:space="preserve">ového roku </w:t>
      </w:r>
      <w:r>
        <w:t>podstatně klesnou</w:t>
      </w:r>
      <w:r w:rsidR="000D7595">
        <w:t xml:space="preserve">, a to </w:t>
      </w:r>
      <w:r w:rsidR="006B2A88">
        <w:t>bez ohledu na typ uzavřené smlouvy s dodavatelem</w:t>
      </w:r>
      <w:r>
        <w:t>.</w:t>
      </w:r>
      <w:r w:rsidR="001E1549">
        <w:t xml:space="preserve"> </w:t>
      </w:r>
      <w:r w:rsidR="006B2A88">
        <w:t xml:space="preserve">Úlevu tak pocítí i odběratelé se zafixovanými produkty. </w:t>
      </w:r>
      <w:r w:rsidR="000D7595">
        <w:t>Tento krok znamená i významné snížení regulovaných cen elektřiny pro</w:t>
      </w:r>
      <w:r>
        <w:t xml:space="preserve"> průmysl připojen</w:t>
      </w:r>
      <w:r w:rsidR="000D7595">
        <w:t>ý</w:t>
      </w:r>
      <w:r>
        <w:t xml:space="preserve"> na vyšších napěťových hladinách.</w:t>
      </w:r>
    </w:p>
    <w:p w14:paraId="307DF6CC" w14:textId="14B50D5E" w:rsidR="006B2A88" w:rsidRDefault="006B2A88" w:rsidP="00A703CE">
      <w:pPr>
        <w:spacing w:after="180"/>
        <w:jc w:val="both"/>
      </w:pPr>
      <w:r w:rsidRPr="0069211A">
        <w:rPr>
          <w:i/>
        </w:rPr>
        <w:t>„</w:t>
      </w:r>
      <w:r w:rsidR="000D7595" w:rsidRPr="0069211A">
        <w:rPr>
          <w:i/>
        </w:rPr>
        <w:t>Důležité bude</w:t>
      </w:r>
      <w:r w:rsidR="00841B98">
        <w:rPr>
          <w:i/>
        </w:rPr>
        <w:t xml:space="preserve"> to, aby </w:t>
      </w:r>
      <w:r w:rsidR="0053174C">
        <w:rPr>
          <w:i/>
        </w:rPr>
        <w:t xml:space="preserve">byl tento </w:t>
      </w:r>
      <w:r w:rsidR="00B636A6">
        <w:rPr>
          <w:i/>
        </w:rPr>
        <w:t>významný pokles regulované ceny trvalý</w:t>
      </w:r>
      <w:r w:rsidR="00841B98">
        <w:rPr>
          <w:i/>
        </w:rPr>
        <w:t xml:space="preserve"> a</w:t>
      </w:r>
      <w:r w:rsidR="000D7595" w:rsidRPr="0069211A">
        <w:rPr>
          <w:i/>
        </w:rPr>
        <w:t xml:space="preserve"> nedocházelo k výraznému kolísání </w:t>
      </w:r>
      <w:r w:rsidR="00177E44" w:rsidRPr="0069211A">
        <w:rPr>
          <w:i/>
        </w:rPr>
        <w:t>v dalších letech</w:t>
      </w:r>
      <w:r w:rsidR="000D7595" w:rsidRPr="0069211A">
        <w:rPr>
          <w:i/>
        </w:rPr>
        <w:t xml:space="preserve">. </w:t>
      </w:r>
      <w:r w:rsidR="00841B98">
        <w:rPr>
          <w:i/>
        </w:rPr>
        <w:t>T</w:t>
      </w:r>
      <w:r w:rsidR="000D7595" w:rsidRPr="0069211A">
        <w:rPr>
          <w:i/>
        </w:rPr>
        <w:t xml:space="preserve">ransformace </w:t>
      </w:r>
      <w:r w:rsidR="004E28D5" w:rsidRPr="0069211A">
        <w:rPr>
          <w:i/>
        </w:rPr>
        <w:t xml:space="preserve">energetiky </w:t>
      </w:r>
      <w:r w:rsidR="000D7595" w:rsidRPr="0069211A">
        <w:rPr>
          <w:i/>
        </w:rPr>
        <w:t>vyvolává značné náklady</w:t>
      </w:r>
      <w:r w:rsidR="004E28D5" w:rsidRPr="0069211A">
        <w:rPr>
          <w:i/>
        </w:rPr>
        <w:t xml:space="preserve">, které </w:t>
      </w:r>
      <w:r w:rsidR="00841B98">
        <w:rPr>
          <w:i/>
        </w:rPr>
        <w:t>jsou přenášeny</w:t>
      </w:r>
      <w:r w:rsidR="004E28D5" w:rsidRPr="0069211A">
        <w:rPr>
          <w:i/>
        </w:rPr>
        <w:t xml:space="preserve"> na odběratele</w:t>
      </w:r>
      <w:r w:rsidR="000D7595" w:rsidRPr="0069211A">
        <w:rPr>
          <w:i/>
        </w:rPr>
        <w:t>.</w:t>
      </w:r>
      <w:r w:rsidR="004E28D5" w:rsidRPr="0069211A">
        <w:rPr>
          <w:i/>
        </w:rPr>
        <w:t xml:space="preserve"> </w:t>
      </w:r>
      <w:r w:rsidR="000D7595" w:rsidRPr="0069211A">
        <w:rPr>
          <w:i/>
        </w:rPr>
        <w:t xml:space="preserve">Zásadní </w:t>
      </w:r>
      <w:r w:rsidR="004E28D5" w:rsidRPr="0069211A">
        <w:rPr>
          <w:i/>
        </w:rPr>
        <w:t xml:space="preserve">pro nás </w:t>
      </w:r>
      <w:r w:rsidR="000D7595" w:rsidRPr="0069211A">
        <w:rPr>
          <w:i/>
        </w:rPr>
        <w:t>proto bud</w:t>
      </w:r>
      <w:r w:rsidR="004E28D5" w:rsidRPr="0069211A">
        <w:rPr>
          <w:i/>
        </w:rPr>
        <w:t>e hledat další nástroje a prostředky pro zmírnění jejích dopadů,</w:t>
      </w:r>
      <w:r w:rsidRPr="0069211A">
        <w:rPr>
          <w:i/>
        </w:rPr>
        <w:t>“</w:t>
      </w:r>
      <w:r w:rsidR="004E28D5" w:rsidRPr="0069211A">
        <w:rPr>
          <w:i/>
        </w:rPr>
        <w:t xml:space="preserve"> </w:t>
      </w:r>
      <w:r w:rsidR="004E28D5">
        <w:t xml:space="preserve">dodává </w:t>
      </w:r>
      <w:r w:rsidR="004E28D5" w:rsidRPr="0069211A">
        <w:rPr>
          <w:b/>
        </w:rPr>
        <w:t xml:space="preserve">Jan </w:t>
      </w:r>
      <w:proofErr w:type="spellStart"/>
      <w:r w:rsidR="004E28D5" w:rsidRPr="0069211A">
        <w:rPr>
          <w:b/>
        </w:rPr>
        <w:t>Šefránek</w:t>
      </w:r>
      <w:proofErr w:type="spellEnd"/>
      <w:r w:rsidR="004E28D5">
        <w:t>.</w:t>
      </w:r>
    </w:p>
    <w:p w14:paraId="6B71BF9B" w14:textId="77777777" w:rsidR="003C6814" w:rsidRDefault="00A703CE" w:rsidP="00A703CE">
      <w:pPr>
        <w:spacing w:after="180"/>
        <w:jc w:val="both"/>
        <w:sectPr w:rsidR="003C6814" w:rsidSect="00017405">
          <w:headerReference w:type="default" r:id="rId13"/>
          <w:footerReference w:type="default" r:id="rId14"/>
          <w:type w:val="continuous"/>
          <w:pgSz w:w="11906" w:h="16838" w:code="9"/>
          <w:pgMar w:top="851" w:right="851" w:bottom="1418" w:left="851" w:header="0" w:footer="119" w:gutter="0"/>
          <w:pgNumType w:start="1"/>
          <w:cols w:space="708"/>
          <w:docGrid w:linePitch="360"/>
        </w:sectPr>
      </w:pPr>
      <w:r>
        <w:t xml:space="preserve">Konkrétní </w:t>
      </w:r>
      <w:r w:rsidR="006753C5">
        <w:t xml:space="preserve">meziroční </w:t>
      </w:r>
      <w:r>
        <w:t>změny zachycují tabulky, které jsou přílohou této tiskové zprávy.</w:t>
      </w:r>
    </w:p>
    <w:p w14:paraId="05D092CD" w14:textId="77777777" w:rsidR="008813AD" w:rsidRDefault="008813AD" w:rsidP="00E379AC">
      <w:pPr>
        <w:pStyle w:val="Titulek"/>
      </w:pPr>
    </w:p>
    <w:p w14:paraId="2D9C6EC2" w14:textId="77777777" w:rsidR="00E379AC" w:rsidRDefault="00E379AC" w:rsidP="00E379AC">
      <w:pPr>
        <w:pStyle w:val="Titulek"/>
      </w:pPr>
      <w:r>
        <w:t xml:space="preserve">Průměrné </w:t>
      </w:r>
      <w:r w:rsidR="003C6814">
        <w:t xml:space="preserve">meziroční </w:t>
      </w:r>
      <w:r>
        <w:t>změny regulované složky ceny</w:t>
      </w:r>
      <w:r w:rsidR="008813AD">
        <w:t xml:space="preserve"> elektřiny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660" w:firstRow="1" w:lastRow="1" w:firstColumn="0" w:lastColumn="0" w:noHBand="1" w:noVBand="1"/>
      </w:tblPr>
      <w:tblGrid>
        <w:gridCol w:w="2930"/>
        <w:gridCol w:w="1361"/>
        <w:gridCol w:w="1361"/>
        <w:gridCol w:w="1361"/>
      </w:tblGrid>
      <w:tr w:rsidR="00041F8E" w:rsidRPr="00041F8E" w14:paraId="1ECAFEB9" w14:textId="77777777" w:rsidTr="008813AD">
        <w:trPr>
          <w:trHeight w:val="1572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23315F" w:themeFill="tex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51C95D" w14:textId="77777777" w:rsidR="00041F8E" w:rsidRPr="00041F8E" w:rsidRDefault="00041F8E" w:rsidP="008813AD">
            <w:pPr>
              <w:spacing w:after="180"/>
              <w:jc w:val="center"/>
              <w:rPr>
                <w:color w:val="FFFFFF" w:themeColor="background1"/>
              </w:rPr>
            </w:pPr>
            <w:r w:rsidRPr="00041F8E">
              <w:rPr>
                <w:b/>
                <w:bCs/>
                <w:color w:val="FFFFFF" w:themeColor="background1"/>
              </w:rPr>
              <w:t>Napěťová hladina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23315F" w:themeFill="tex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A6DA2B" w14:textId="77777777" w:rsidR="00041F8E" w:rsidRPr="00041F8E" w:rsidRDefault="00041F8E" w:rsidP="008813AD">
            <w:pPr>
              <w:spacing w:after="180"/>
              <w:jc w:val="center"/>
              <w:rPr>
                <w:color w:val="FFFFFF" w:themeColor="background1"/>
              </w:rPr>
            </w:pPr>
            <w:r w:rsidRPr="00041F8E">
              <w:rPr>
                <w:b/>
                <w:bCs/>
                <w:color w:val="FFFFFF" w:themeColor="background1"/>
              </w:rPr>
              <w:t>2025</w:t>
            </w:r>
          </w:p>
          <w:p w14:paraId="550C4DE1" w14:textId="77777777" w:rsidR="00041F8E" w:rsidRPr="00041F8E" w:rsidRDefault="00041F8E" w:rsidP="008813AD">
            <w:pPr>
              <w:spacing w:after="180"/>
              <w:jc w:val="center"/>
              <w:rPr>
                <w:color w:val="FFFFFF" w:themeColor="background1"/>
              </w:rPr>
            </w:pPr>
            <w:r w:rsidRPr="00041F8E">
              <w:rPr>
                <w:color w:val="FFFFFF" w:themeColor="background1"/>
              </w:rPr>
              <w:t>cena</w:t>
            </w:r>
            <w:r w:rsidRPr="00041F8E">
              <w:rPr>
                <w:color w:val="FFFFFF" w:themeColor="background1"/>
              </w:rPr>
              <w:br/>
              <w:t>za MWh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23315F" w:themeFill="tex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149BA9" w14:textId="77777777" w:rsidR="00041F8E" w:rsidRPr="00041F8E" w:rsidRDefault="00041F8E" w:rsidP="008813AD">
            <w:pPr>
              <w:spacing w:after="180"/>
              <w:jc w:val="center"/>
              <w:rPr>
                <w:color w:val="FFFFFF" w:themeColor="background1"/>
              </w:rPr>
            </w:pPr>
            <w:r w:rsidRPr="00041F8E">
              <w:rPr>
                <w:b/>
                <w:bCs/>
                <w:color w:val="FFFFFF" w:themeColor="background1"/>
              </w:rPr>
              <w:t>2026</w:t>
            </w:r>
          </w:p>
          <w:p w14:paraId="35A483F4" w14:textId="77777777" w:rsidR="00041F8E" w:rsidRPr="00041F8E" w:rsidRDefault="00041F8E" w:rsidP="008813AD">
            <w:pPr>
              <w:spacing w:after="180"/>
              <w:jc w:val="center"/>
              <w:rPr>
                <w:color w:val="FFFFFF" w:themeColor="background1"/>
              </w:rPr>
            </w:pPr>
            <w:r w:rsidRPr="00041F8E">
              <w:rPr>
                <w:color w:val="FFFFFF" w:themeColor="background1"/>
              </w:rPr>
              <w:t>cena</w:t>
            </w:r>
            <w:r w:rsidRPr="00041F8E">
              <w:rPr>
                <w:color w:val="FFFFFF" w:themeColor="background1"/>
              </w:rPr>
              <w:br/>
              <w:t>za MWh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E02C1F" w:themeFill="accent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66EE27" w14:textId="77777777" w:rsidR="00041F8E" w:rsidRPr="00041F8E" w:rsidRDefault="00041F8E" w:rsidP="008813AD">
            <w:pPr>
              <w:spacing w:after="180"/>
              <w:jc w:val="center"/>
              <w:rPr>
                <w:color w:val="FFFFFF" w:themeColor="background1"/>
              </w:rPr>
            </w:pPr>
            <w:r w:rsidRPr="00041F8E">
              <w:rPr>
                <w:b/>
                <w:bCs/>
                <w:color w:val="FFFFFF" w:themeColor="background1"/>
              </w:rPr>
              <w:t>Změna</w:t>
            </w:r>
            <w:r w:rsidRPr="00041F8E">
              <w:rPr>
                <w:b/>
                <w:bCs/>
                <w:color w:val="FFFFFF" w:themeColor="background1"/>
              </w:rPr>
              <w:br/>
              <w:t>2026/2025</w:t>
            </w:r>
          </w:p>
        </w:tc>
      </w:tr>
      <w:tr w:rsidR="00041F8E" w:rsidRPr="00041F8E" w14:paraId="4CA04930" w14:textId="77777777" w:rsidTr="00E379AC">
        <w:trPr>
          <w:trHeight w:val="567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9ACDA8" w14:textId="77777777" w:rsidR="00041F8E" w:rsidRPr="00041F8E" w:rsidRDefault="00041F8E" w:rsidP="00E379AC">
            <w:pPr>
              <w:spacing w:after="180"/>
            </w:pPr>
            <w:r w:rsidRPr="00041F8E">
              <w:rPr>
                <w:b/>
                <w:bCs/>
              </w:rPr>
              <w:t>Nízké</w:t>
            </w:r>
            <w:r>
              <w:rPr>
                <w:b/>
                <w:bCs/>
              </w:rPr>
              <w:t xml:space="preserve"> </w:t>
            </w:r>
            <w:r w:rsidRPr="00041F8E">
              <w:rPr>
                <w:b/>
                <w:bCs/>
              </w:rPr>
              <w:t>napětí</w:t>
            </w:r>
            <w:r w:rsidRPr="00041F8E">
              <w:rPr>
                <w:b/>
                <w:bCs/>
              </w:rPr>
              <w:br/>
            </w:r>
            <w:r w:rsidRPr="00041F8E">
              <w:t>(domácnosti a podnikatelé)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D086B1" w14:textId="77777777" w:rsidR="00041F8E" w:rsidRPr="00041F8E" w:rsidRDefault="00041F8E" w:rsidP="00E379AC">
            <w:pPr>
              <w:spacing w:after="180"/>
              <w:jc w:val="right"/>
            </w:pPr>
            <w:r w:rsidRPr="00041F8E">
              <w:t>2 772 Kč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CBF411" w14:textId="77777777" w:rsidR="00041F8E" w:rsidRPr="00041F8E" w:rsidRDefault="00041F8E" w:rsidP="00E379AC">
            <w:pPr>
              <w:spacing w:after="180"/>
              <w:jc w:val="right"/>
            </w:pPr>
            <w:r w:rsidRPr="00041F8E">
              <w:t>2 352 Kč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5EF9C1" w14:textId="77777777" w:rsidR="00041F8E" w:rsidRPr="008813AD" w:rsidRDefault="00041F8E" w:rsidP="00E379AC">
            <w:pPr>
              <w:spacing w:after="180"/>
              <w:jc w:val="right"/>
              <w:rPr>
                <w:color w:val="E02C1F" w:themeColor="accent5"/>
              </w:rPr>
            </w:pPr>
            <w:r w:rsidRPr="008813AD">
              <w:rPr>
                <w:b/>
                <w:bCs/>
                <w:color w:val="E02C1F" w:themeColor="accent5"/>
              </w:rPr>
              <w:t>-15,1 %</w:t>
            </w:r>
          </w:p>
        </w:tc>
      </w:tr>
      <w:tr w:rsidR="00041F8E" w:rsidRPr="00041F8E" w14:paraId="415C38A3" w14:textId="77777777" w:rsidTr="00E379AC">
        <w:trPr>
          <w:trHeight w:val="567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249BD1" w14:textId="77777777" w:rsidR="00041F8E" w:rsidRPr="00041F8E" w:rsidRDefault="00041F8E" w:rsidP="00E379AC">
            <w:pPr>
              <w:spacing w:after="180"/>
              <w:jc w:val="both"/>
            </w:pPr>
            <w:r w:rsidRPr="00041F8E">
              <w:rPr>
                <w:b/>
                <w:bCs/>
              </w:rPr>
              <w:t>Vysoké napětí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7A718C" w14:textId="77777777" w:rsidR="00041F8E" w:rsidRPr="00041F8E" w:rsidRDefault="00041F8E" w:rsidP="00E379AC">
            <w:pPr>
              <w:spacing w:after="180"/>
              <w:jc w:val="right"/>
            </w:pPr>
            <w:r w:rsidRPr="00041F8E">
              <w:t>1 427 Kč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62F2C8" w14:textId="77777777" w:rsidR="00041F8E" w:rsidRPr="00041F8E" w:rsidRDefault="00041F8E" w:rsidP="00E379AC">
            <w:pPr>
              <w:spacing w:after="180"/>
              <w:jc w:val="right"/>
            </w:pPr>
            <w:r w:rsidRPr="00041F8E">
              <w:t xml:space="preserve">1 128 Kč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08C436" w14:textId="77777777" w:rsidR="00041F8E" w:rsidRPr="008813AD" w:rsidRDefault="00041F8E" w:rsidP="00E379AC">
            <w:pPr>
              <w:spacing w:after="180"/>
              <w:jc w:val="right"/>
              <w:rPr>
                <w:color w:val="E02C1F" w:themeColor="accent5"/>
              </w:rPr>
            </w:pPr>
            <w:r w:rsidRPr="008813AD">
              <w:rPr>
                <w:b/>
                <w:bCs/>
                <w:color w:val="E02C1F" w:themeColor="accent5"/>
              </w:rPr>
              <w:t>-21,0 %</w:t>
            </w:r>
          </w:p>
        </w:tc>
      </w:tr>
      <w:tr w:rsidR="00041F8E" w:rsidRPr="00041F8E" w14:paraId="1BF5765F" w14:textId="77777777" w:rsidTr="00E379AC">
        <w:trPr>
          <w:trHeight w:val="567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F5AA12" w14:textId="77777777" w:rsidR="00041F8E" w:rsidRPr="00041F8E" w:rsidRDefault="00041F8E" w:rsidP="00E379AC">
            <w:pPr>
              <w:spacing w:after="180"/>
              <w:jc w:val="both"/>
            </w:pPr>
            <w:r w:rsidRPr="00041F8E">
              <w:rPr>
                <w:b/>
                <w:bCs/>
              </w:rPr>
              <w:t>Velmi vysoké napětí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8A3AC0" w14:textId="77777777" w:rsidR="00041F8E" w:rsidRPr="00041F8E" w:rsidRDefault="00041F8E" w:rsidP="00E379AC">
            <w:pPr>
              <w:spacing w:after="180"/>
              <w:jc w:val="right"/>
            </w:pPr>
            <w:r w:rsidRPr="00041F8E">
              <w:t>833 Kč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FC92CB" w14:textId="77777777" w:rsidR="00041F8E" w:rsidRPr="00041F8E" w:rsidRDefault="00041F8E" w:rsidP="00E379AC">
            <w:pPr>
              <w:spacing w:after="180"/>
              <w:jc w:val="right"/>
            </w:pPr>
            <w:r w:rsidRPr="00041F8E">
              <w:t>548 Kč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9854AF" w14:textId="77777777" w:rsidR="00041F8E" w:rsidRPr="008813AD" w:rsidRDefault="00041F8E" w:rsidP="00E379AC">
            <w:pPr>
              <w:spacing w:after="180"/>
              <w:jc w:val="right"/>
              <w:rPr>
                <w:color w:val="E02C1F" w:themeColor="accent5"/>
              </w:rPr>
            </w:pPr>
            <w:r w:rsidRPr="008813AD">
              <w:rPr>
                <w:b/>
                <w:bCs/>
                <w:color w:val="E02C1F" w:themeColor="accent5"/>
              </w:rPr>
              <w:t>-34,2 %</w:t>
            </w:r>
          </w:p>
        </w:tc>
      </w:tr>
    </w:tbl>
    <w:p w14:paraId="32CAE837" w14:textId="77777777" w:rsidR="00907E2C" w:rsidRDefault="00907E2C" w:rsidP="00183610">
      <w:pPr>
        <w:spacing w:after="180"/>
        <w:jc w:val="both"/>
      </w:pPr>
    </w:p>
    <w:p w14:paraId="2D3B4752" w14:textId="77777777" w:rsidR="003C6814" w:rsidRDefault="003C6814" w:rsidP="00183610">
      <w:pPr>
        <w:spacing w:after="180"/>
        <w:jc w:val="both"/>
      </w:pPr>
    </w:p>
    <w:p w14:paraId="562BD740" w14:textId="77777777" w:rsidR="003C6814" w:rsidRDefault="003C6814" w:rsidP="00183610">
      <w:pPr>
        <w:spacing w:after="180"/>
        <w:jc w:val="both"/>
      </w:pPr>
    </w:p>
    <w:p w14:paraId="6AED9082" w14:textId="77777777" w:rsidR="003C6814" w:rsidRDefault="003C6814" w:rsidP="00183610">
      <w:pPr>
        <w:spacing w:after="180"/>
        <w:jc w:val="both"/>
      </w:pPr>
    </w:p>
    <w:p w14:paraId="36CDB866" w14:textId="77777777" w:rsidR="003C6814" w:rsidRDefault="003C6814" w:rsidP="00183610">
      <w:pPr>
        <w:spacing w:after="180"/>
        <w:jc w:val="both"/>
      </w:pPr>
    </w:p>
    <w:p w14:paraId="0D27ED8F" w14:textId="77777777" w:rsidR="003C6814" w:rsidRDefault="003C6814" w:rsidP="00183610">
      <w:pPr>
        <w:spacing w:after="180"/>
        <w:jc w:val="both"/>
      </w:pPr>
    </w:p>
    <w:p w14:paraId="4FD14BE2" w14:textId="77777777" w:rsidR="003C6814" w:rsidRDefault="003C6814" w:rsidP="00183610">
      <w:pPr>
        <w:spacing w:after="180"/>
        <w:jc w:val="both"/>
      </w:pPr>
    </w:p>
    <w:p w14:paraId="2B58FB23" w14:textId="77777777" w:rsidR="003C6814" w:rsidRDefault="003C6814" w:rsidP="00183610">
      <w:pPr>
        <w:spacing w:after="180"/>
        <w:jc w:val="both"/>
      </w:pPr>
    </w:p>
    <w:p w14:paraId="0FA745FC" w14:textId="77777777" w:rsidR="003C6814" w:rsidRDefault="003C6814" w:rsidP="00183610">
      <w:pPr>
        <w:spacing w:after="180"/>
        <w:jc w:val="both"/>
      </w:pPr>
    </w:p>
    <w:p w14:paraId="1F3486FA" w14:textId="77777777" w:rsidR="003C6814" w:rsidRDefault="003C6814" w:rsidP="00183610">
      <w:pPr>
        <w:spacing w:after="180"/>
        <w:jc w:val="both"/>
      </w:pPr>
    </w:p>
    <w:p w14:paraId="3D2AE1AA" w14:textId="77777777" w:rsidR="008813AD" w:rsidRDefault="008813AD" w:rsidP="008813AD">
      <w:pPr>
        <w:pStyle w:val="Titulek"/>
      </w:pPr>
      <w:r>
        <w:t>Průměrné meziroční změny regulované složky ceny elektřiny pro domácnosti</w:t>
      </w:r>
    </w:p>
    <w:tbl>
      <w:tblPr>
        <w:tblW w:w="0" w:type="auto"/>
        <w:tblLayout w:type="fixed"/>
        <w:tblCellMar>
          <w:left w:w="227" w:type="dxa"/>
          <w:right w:w="227" w:type="dxa"/>
        </w:tblCellMar>
        <w:tblLook w:val="0620" w:firstRow="1" w:lastRow="0" w:firstColumn="0" w:lastColumn="0" w:noHBand="1" w:noVBand="1"/>
      </w:tblPr>
      <w:tblGrid>
        <w:gridCol w:w="3686"/>
        <w:gridCol w:w="1361"/>
        <w:gridCol w:w="1361"/>
        <w:gridCol w:w="1411"/>
        <w:gridCol w:w="992"/>
      </w:tblGrid>
      <w:tr w:rsidR="008813AD" w:rsidRPr="003C6814" w14:paraId="0FDACF08" w14:textId="77777777" w:rsidTr="008813AD">
        <w:trPr>
          <w:trHeight w:val="1871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23315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FFD1E" w14:textId="77777777" w:rsidR="003C6814" w:rsidRPr="008813AD" w:rsidRDefault="008813AD" w:rsidP="008813AD">
            <w:pPr>
              <w:spacing w:after="180"/>
              <w:ind w:left="127"/>
              <w:jc w:val="both"/>
              <w:rPr>
                <w:b/>
              </w:rPr>
            </w:pPr>
            <w:r w:rsidRPr="008813AD">
              <w:rPr>
                <w:b/>
              </w:rPr>
              <w:t>Typ domácnosti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23315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E30E1" w14:textId="77777777" w:rsidR="003C6814" w:rsidRDefault="003C6814" w:rsidP="008813AD">
            <w:pPr>
              <w:spacing w:after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  <w:p w14:paraId="73E5FE6D" w14:textId="77777777" w:rsidR="003C6814" w:rsidRPr="008813AD" w:rsidRDefault="003C6814" w:rsidP="008813AD">
            <w:pPr>
              <w:spacing w:after="180"/>
              <w:jc w:val="center"/>
              <w:rPr>
                <w:bCs/>
              </w:rPr>
            </w:pPr>
            <w:r w:rsidRPr="008813AD">
              <w:rPr>
                <w:bCs/>
              </w:rPr>
              <w:t>cena</w:t>
            </w:r>
            <w:r w:rsidRPr="008813AD">
              <w:rPr>
                <w:bCs/>
              </w:rPr>
              <w:br/>
              <w:t>za MWh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23315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EA1DE" w14:textId="77777777" w:rsidR="003C6814" w:rsidRDefault="003C6814" w:rsidP="008813AD">
            <w:pPr>
              <w:spacing w:after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  <w:p w14:paraId="1E74AEAC" w14:textId="77777777" w:rsidR="003C6814" w:rsidRPr="008813AD" w:rsidRDefault="003C6814" w:rsidP="008813AD">
            <w:pPr>
              <w:spacing w:after="180"/>
              <w:jc w:val="center"/>
            </w:pPr>
            <w:r w:rsidRPr="008813AD">
              <w:rPr>
                <w:bCs/>
              </w:rPr>
              <w:t>cena</w:t>
            </w:r>
            <w:r w:rsidRPr="008813AD">
              <w:rPr>
                <w:bCs/>
              </w:rPr>
              <w:br/>
              <w:t>za MWh</w:t>
            </w: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F2B2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DBAF9" w14:textId="77777777" w:rsidR="003C6814" w:rsidRPr="003C6814" w:rsidRDefault="008813AD" w:rsidP="003C6814">
            <w:pPr>
              <w:spacing w:after="180"/>
              <w:jc w:val="center"/>
            </w:pPr>
            <w:r>
              <w:rPr>
                <w:b/>
                <w:bCs/>
                <w:color w:val="FFFFFF" w:themeColor="background1"/>
              </w:rPr>
              <w:t>Změna 2026/2025</w:t>
            </w:r>
            <w:r w:rsidR="003C6814" w:rsidRPr="008813AD">
              <w:rPr>
                <w:b/>
                <w:bCs/>
                <w:color w:val="FFFFFF" w:themeColor="background1"/>
              </w:rPr>
              <w:br/>
            </w:r>
            <w:r>
              <w:rPr>
                <w:color w:val="FFFFFF" w:themeColor="background1"/>
              </w:rPr>
              <w:t xml:space="preserve">cena </w:t>
            </w:r>
            <w:r w:rsidR="003C6814" w:rsidRPr="008813AD">
              <w:rPr>
                <w:color w:val="FFFFFF" w:themeColor="background1"/>
              </w:rPr>
              <w:t>za MWh, %</w:t>
            </w:r>
          </w:p>
        </w:tc>
      </w:tr>
      <w:tr w:rsidR="00DC4AC3" w:rsidRPr="003C6814" w14:paraId="3D9C5EF3" w14:textId="77777777" w:rsidTr="008813AD">
        <w:trPr>
          <w:trHeight w:val="964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E8E8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52106" w14:textId="77777777" w:rsidR="00DC4AC3" w:rsidRPr="00DC4AC3" w:rsidRDefault="00DC4AC3" w:rsidP="00A02C65">
            <w:pPr>
              <w:spacing w:after="180"/>
              <w:ind w:left="127"/>
              <w:rPr>
                <w:b/>
                <w:bCs/>
              </w:rPr>
            </w:pPr>
            <w:r w:rsidRPr="00DC4AC3">
              <w:rPr>
                <w:b/>
                <w:bCs/>
              </w:rPr>
              <w:t>Byt</w:t>
            </w:r>
            <w:r w:rsidRPr="00DC4AC3">
              <w:rPr>
                <w:b/>
                <w:bCs/>
              </w:rPr>
              <w:br/>
            </w:r>
            <w:r w:rsidRPr="00A02C65">
              <w:rPr>
                <w:bCs/>
              </w:rPr>
              <w:t>(vaření)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E8E8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0C914" w14:textId="77777777" w:rsidR="00DC4AC3" w:rsidRPr="003C6814" w:rsidRDefault="00DC4AC3" w:rsidP="00DC4AC3">
            <w:pPr>
              <w:spacing w:after="180"/>
              <w:ind w:right="63"/>
              <w:jc w:val="right"/>
            </w:pPr>
            <w:r w:rsidRPr="003C6814">
              <w:t>4</w:t>
            </w:r>
            <w:r>
              <w:t> </w:t>
            </w:r>
            <w:r w:rsidRPr="003C6814">
              <w:t>078</w:t>
            </w:r>
            <w:r>
              <w:t xml:space="preserve"> Kč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E8E8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F05AA" w14:textId="77777777" w:rsidR="00DC4AC3" w:rsidRPr="003C6814" w:rsidRDefault="00DC4AC3" w:rsidP="00DC4AC3">
            <w:pPr>
              <w:spacing w:after="180"/>
              <w:ind w:right="153"/>
              <w:jc w:val="right"/>
            </w:pPr>
            <w:r w:rsidRPr="003C6814">
              <w:t>3</w:t>
            </w:r>
            <w:r>
              <w:t> </w:t>
            </w:r>
            <w:r w:rsidRPr="003C6814">
              <w:t>690</w:t>
            </w:r>
            <w:r>
              <w:t xml:space="preserve"> Kč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E8E8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93F45" w14:textId="77777777" w:rsidR="00DC4AC3" w:rsidRPr="003C6814" w:rsidRDefault="00DC4AC3" w:rsidP="00DC4AC3">
            <w:pPr>
              <w:spacing w:after="180"/>
              <w:ind w:right="145"/>
              <w:jc w:val="right"/>
            </w:pPr>
            <w:r w:rsidRPr="003C6814">
              <w:rPr>
                <w:b/>
                <w:bCs/>
              </w:rPr>
              <w:t>-388</w:t>
            </w:r>
            <w:r>
              <w:rPr>
                <w:b/>
                <w:bCs/>
              </w:rPr>
              <w:t xml:space="preserve">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8E8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D254A" w14:textId="77777777" w:rsidR="00DC4AC3" w:rsidRPr="008813AD" w:rsidRDefault="00DC4AC3" w:rsidP="00DC4AC3">
            <w:pPr>
              <w:spacing w:after="180"/>
              <w:ind w:left="-175" w:right="145" w:firstLine="175"/>
              <w:jc w:val="right"/>
              <w:rPr>
                <w:color w:val="E02C1F" w:themeColor="accent5"/>
              </w:rPr>
            </w:pPr>
            <w:r w:rsidRPr="008813AD">
              <w:rPr>
                <w:b/>
                <w:bCs/>
                <w:color w:val="E02C1F" w:themeColor="accent5"/>
              </w:rPr>
              <w:t>-9,5 %</w:t>
            </w:r>
          </w:p>
        </w:tc>
      </w:tr>
      <w:tr w:rsidR="00DC4AC3" w:rsidRPr="003C6814" w14:paraId="26A1DD57" w14:textId="77777777" w:rsidTr="008813AD">
        <w:trPr>
          <w:trHeight w:val="964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E8E8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36CAA" w14:textId="77777777" w:rsidR="00DC4AC3" w:rsidRPr="00A02C65" w:rsidRDefault="00DC4AC3" w:rsidP="00A02C65">
            <w:pPr>
              <w:spacing w:after="180"/>
              <w:ind w:left="127"/>
              <w:rPr>
                <w:bCs/>
              </w:rPr>
            </w:pPr>
            <w:r w:rsidRPr="00DC4AC3">
              <w:rPr>
                <w:b/>
                <w:bCs/>
              </w:rPr>
              <w:t>Byt</w:t>
            </w:r>
            <w:r w:rsidR="00A02C65">
              <w:rPr>
                <w:b/>
                <w:bCs/>
              </w:rPr>
              <w:br/>
            </w:r>
            <w:r w:rsidRPr="00A02C65">
              <w:rPr>
                <w:bCs/>
              </w:rPr>
              <w:t>(vaření, ohřev vody)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E8E8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C8E2C" w14:textId="77777777" w:rsidR="00DC4AC3" w:rsidRPr="00A703CE" w:rsidRDefault="00DC4AC3" w:rsidP="00DC4AC3">
            <w:pPr>
              <w:spacing w:after="180"/>
              <w:ind w:right="63"/>
              <w:jc w:val="right"/>
            </w:pPr>
            <w:r w:rsidRPr="00A703CE">
              <w:t>2 734 Kč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E8E8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714B5" w14:textId="77777777" w:rsidR="00DC4AC3" w:rsidRPr="003C6814" w:rsidRDefault="00DC4AC3" w:rsidP="00DC4AC3">
            <w:pPr>
              <w:spacing w:after="180"/>
              <w:ind w:right="153"/>
              <w:jc w:val="right"/>
            </w:pPr>
            <w:r w:rsidRPr="003C6814">
              <w:t>2</w:t>
            </w:r>
            <w:r>
              <w:t> </w:t>
            </w:r>
            <w:r w:rsidRPr="003C6814">
              <w:t>316</w:t>
            </w:r>
            <w:r>
              <w:t xml:space="preserve"> Kč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E8E8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26514" w14:textId="77777777" w:rsidR="00DC4AC3" w:rsidRPr="003C6814" w:rsidRDefault="00DC4AC3" w:rsidP="00DC4AC3">
            <w:pPr>
              <w:spacing w:after="180"/>
              <w:ind w:right="145"/>
              <w:jc w:val="right"/>
            </w:pPr>
            <w:r w:rsidRPr="003C6814">
              <w:rPr>
                <w:b/>
                <w:bCs/>
              </w:rPr>
              <w:t>-418</w:t>
            </w:r>
            <w:r>
              <w:rPr>
                <w:b/>
                <w:bCs/>
              </w:rPr>
              <w:t xml:space="preserve">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8E8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C9DE3" w14:textId="77777777" w:rsidR="00DC4AC3" w:rsidRPr="008813AD" w:rsidRDefault="00DC4AC3" w:rsidP="00DC4AC3">
            <w:pPr>
              <w:spacing w:after="180"/>
              <w:ind w:left="-175" w:right="145" w:firstLine="175"/>
              <w:jc w:val="right"/>
              <w:rPr>
                <w:color w:val="E02C1F" w:themeColor="accent5"/>
              </w:rPr>
            </w:pPr>
            <w:r w:rsidRPr="008813AD">
              <w:rPr>
                <w:b/>
                <w:bCs/>
                <w:color w:val="E02C1F" w:themeColor="accent5"/>
              </w:rPr>
              <w:t>-15,3 %</w:t>
            </w:r>
          </w:p>
        </w:tc>
      </w:tr>
      <w:tr w:rsidR="00DC4AC3" w:rsidRPr="003C6814" w14:paraId="61096681" w14:textId="77777777" w:rsidTr="008813AD">
        <w:trPr>
          <w:trHeight w:val="964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E8E8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51E36" w14:textId="77777777" w:rsidR="00DC4AC3" w:rsidRPr="00DC4AC3" w:rsidRDefault="00DC4AC3" w:rsidP="00A02C65">
            <w:pPr>
              <w:spacing w:after="180"/>
              <w:ind w:left="127"/>
              <w:rPr>
                <w:b/>
                <w:bCs/>
              </w:rPr>
            </w:pPr>
            <w:r w:rsidRPr="00DC4AC3">
              <w:rPr>
                <w:b/>
                <w:bCs/>
              </w:rPr>
              <w:t>Rodinný dům</w:t>
            </w:r>
            <w:r w:rsidRPr="00DC4AC3">
              <w:rPr>
                <w:b/>
                <w:bCs/>
              </w:rPr>
              <w:br/>
            </w:r>
            <w:r w:rsidRPr="00A02C65">
              <w:rPr>
                <w:bCs/>
              </w:rPr>
              <w:t>(vaření, ohřev vody a vytápění)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E8E8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4BBA9" w14:textId="77777777" w:rsidR="00DC4AC3" w:rsidRPr="003C6814" w:rsidRDefault="00DC4AC3" w:rsidP="00DC4AC3">
            <w:pPr>
              <w:spacing w:after="180"/>
              <w:ind w:right="63"/>
              <w:jc w:val="right"/>
            </w:pPr>
            <w:r w:rsidRPr="003C6814">
              <w:t>1</w:t>
            </w:r>
            <w:r>
              <w:t> </w:t>
            </w:r>
            <w:r w:rsidRPr="003C6814">
              <w:t>643</w:t>
            </w:r>
            <w:r>
              <w:t xml:space="preserve"> Kč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E8E8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00528" w14:textId="77777777" w:rsidR="00DC4AC3" w:rsidRPr="003C6814" w:rsidRDefault="00DC4AC3" w:rsidP="00DC4AC3">
            <w:pPr>
              <w:spacing w:after="180"/>
              <w:ind w:right="153"/>
              <w:jc w:val="right"/>
            </w:pPr>
            <w:r w:rsidRPr="003C6814">
              <w:t>1</w:t>
            </w:r>
            <w:r>
              <w:t> </w:t>
            </w:r>
            <w:r w:rsidRPr="003C6814">
              <w:t>198</w:t>
            </w:r>
            <w:r>
              <w:t xml:space="preserve"> Kč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E8E8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2A34D" w14:textId="77777777" w:rsidR="00DC4AC3" w:rsidRPr="003C6814" w:rsidRDefault="00DC4AC3" w:rsidP="00DC4AC3">
            <w:pPr>
              <w:spacing w:after="180"/>
              <w:ind w:right="145"/>
              <w:jc w:val="right"/>
            </w:pPr>
            <w:r w:rsidRPr="003C6814">
              <w:rPr>
                <w:b/>
                <w:bCs/>
              </w:rPr>
              <w:t>-445</w:t>
            </w:r>
            <w:r>
              <w:rPr>
                <w:b/>
                <w:bCs/>
              </w:rPr>
              <w:t xml:space="preserve">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8E8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FA928" w14:textId="77777777" w:rsidR="00DC4AC3" w:rsidRPr="008813AD" w:rsidRDefault="00DC4AC3" w:rsidP="00DC4AC3">
            <w:pPr>
              <w:spacing w:after="180"/>
              <w:ind w:left="-175" w:right="145" w:firstLine="175"/>
              <w:jc w:val="right"/>
              <w:rPr>
                <w:color w:val="E02C1F" w:themeColor="accent5"/>
              </w:rPr>
            </w:pPr>
            <w:r w:rsidRPr="008813AD">
              <w:rPr>
                <w:b/>
                <w:bCs/>
                <w:color w:val="E02C1F" w:themeColor="accent5"/>
              </w:rPr>
              <w:t>-27,1 %</w:t>
            </w:r>
          </w:p>
        </w:tc>
      </w:tr>
    </w:tbl>
    <w:p w14:paraId="40AE502F" w14:textId="77777777" w:rsidR="003C6814" w:rsidRDefault="003C6814" w:rsidP="00183610">
      <w:pPr>
        <w:spacing w:after="180"/>
        <w:jc w:val="both"/>
      </w:pPr>
    </w:p>
    <w:p w14:paraId="7A46F56F" w14:textId="77777777" w:rsidR="003C6814" w:rsidRDefault="003C6814" w:rsidP="00183610">
      <w:pPr>
        <w:spacing w:after="180"/>
        <w:jc w:val="both"/>
      </w:pPr>
    </w:p>
    <w:p w14:paraId="0F42A5C7" w14:textId="77777777" w:rsidR="003C6814" w:rsidRDefault="003C6814" w:rsidP="00183610">
      <w:pPr>
        <w:spacing w:after="180"/>
        <w:jc w:val="both"/>
      </w:pPr>
    </w:p>
    <w:p w14:paraId="0ADE7FEA" w14:textId="77777777" w:rsidR="003C6814" w:rsidRDefault="003C6814" w:rsidP="00183610">
      <w:pPr>
        <w:spacing w:after="180"/>
        <w:jc w:val="both"/>
      </w:pPr>
    </w:p>
    <w:sectPr w:rsidR="003C6814" w:rsidSect="003C6814">
      <w:pgSz w:w="11906" w:h="16838" w:code="9"/>
      <w:pgMar w:top="851" w:right="851" w:bottom="1418" w:left="851" w:header="0" w:footer="11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7A4C7" w14:textId="77777777" w:rsidR="00F2758F" w:rsidRDefault="00F2758F" w:rsidP="006928DE">
      <w:pPr>
        <w:spacing w:after="0" w:line="240" w:lineRule="auto"/>
      </w:pPr>
      <w:r>
        <w:separator/>
      </w:r>
    </w:p>
    <w:p w14:paraId="1DE92F34" w14:textId="77777777" w:rsidR="00F2758F" w:rsidRDefault="00F2758F"/>
  </w:endnote>
  <w:endnote w:type="continuationSeparator" w:id="0">
    <w:p w14:paraId="313D527E" w14:textId="77777777" w:rsidR="00F2758F" w:rsidRDefault="00F2758F" w:rsidP="006928DE">
      <w:pPr>
        <w:spacing w:after="0" w:line="240" w:lineRule="auto"/>
      </w:pPr>
      <w:r>
        <w:continuationSeparator/>
      </w:r>
    </w:p>
    <w:p w14:paraId="189287B7" w14:textId="77777777" w:rsidR="00F2758F" w:rsidRDefault="00F275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iro">
    <w:altName w:val="Calibri"/>
    <w:panose1 w:val="00000000000000000000"/>
    <w:charset w:val="EE"/>
    <w:family w:val="auto"/>
    <w:pitch w:val="variable"/>
    <w:sig w:usb0="A00020AF" w:usb1="9000204B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663E3" w14:textId="77777777" w:rsidR="00907E2C" w:rsidRDefault="00907E2C" w:rsidP="00907E2C">
    <w:pPr>
      <w:pStyle w:val="Zpat"/>
    </w:pPr>
  </w:p>
  <w:tbl>
    <w:tblPr>
      <w:tblStyle w:val="Mkatabulky"/>
      <w:tblW w:w="10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445"/>
      <w:gridCol w:w="4026"/>
      <w:gridCol w:w="1438"/>
      <w:gridCol w:w="1726"/>
      <w:gridCol w:w="1579"/>
    </w:tblGrid>
    <w:tr w:rsidR="00907E2C" w:rsidRPr="003F04A5" w14:paraId="71A875A1" w14:textId="77777777" w:rsidTr="00C55977">
      <w:trPr>
        <w:cantSplit/>
        <w:trHeight w:hRule="exact" w:val="238"/>
      </w:trPr>
      <w:tc>
        <w:tcPr>
          <w:tcW w:w="707" w:type="pct"/>
          <w:vMerge w:val="restart"/>
        </w:tcPr>
        <w:p w14:paraId="1FA2E87D" w14:textId="77777777" w:rsidR="00907E2C" w:rsidRPr="003F04A5" w:rsidRDefault="00907E2C" w:rsidP="00907E2C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b/>
              <w:noProof/>
              <w:color w:val="23315F"/>
              <w:sz w:val="17"/>
              <w:szCs w:val="17"/>
            </w:rPr>
            <w:drawing>
              <wp:anchor distT="0" distB="0" distL="114300" distR="114300" simplePos="0" relativeHeight="251664384" behindDoc="1" locked="1" layoutInCell="1" allowOverlap="0" wp14:anchorId="7018A17D" wp14:editId="7BF82820">
                <wp:simplePos x="0" y="0"/>
                <wp:positionH relativeFrom="margin">
                  <wp:posOffset>-24765</wp:posOffset>
                </wp:positionH>
                <wp:positionV relativeFrom="margin">
                  <wp:posOffset>0</wp:posOffset>
                </wp:positionV>
                <wp:extent cx="902970" cy="902970"/>
                <wp:effectExtent l="0" t="0" r="0" b="0"/>
                <wp:wrapSquare wrapText="bothSides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2970" cy="902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71" w:type="pct"/>
          <w:vAlign w:val="center"/>
        </w:tcPr>
        <w:p w14:paraId="47BDC1FA" w14:textId="77777777" w:rsidR="00907E2C" w:rsidRPr="003F04A5" w:rsidRDefault="00907E2C" w:rsidP="00907E2C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23315F"/>
              <w:sz w:val="17"/>
              <w:szCs w:val="17"/>
            </w:rPr>
            <w:t>Energetický regulační úřad</w:t>
          </w:r>
        </w:p>
      </w:tc>
      <w:tc>
        <w:tcPr>
          <w:tcW w:w="704" w:type="pct"/>
          <w:vAlign w:val="center"/>
        </w:tcPr>
        <w:p w14:paraId="55C760FF" w14:textId="77777777" w:rsidR="00907E2C" w:rsidRPr="003F04A5" w:rsidRDefault="00907E2C" w:rsidP="00907E2C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Tiskoví mluvčí:</w:t>
          </w:r>
        </w:p>
      </w:tc>
      <w:tc>
        <w:tcPr>
          <w:tcW w:w="845" w:type="pct"/>
          <w:vAlign w:val="center"/>
        </w:tcPr>
        <w:p w14:paraId="5CE0F3EC" w14:textId="77777777" w:rsidR="00907E2C" w:rsidRPr="003F04A5" w:rsidRDefault="00907E2C" w:rsidP="00907E2C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23315F"/>
              <w:sz w:val="17"/>
              <w:szCs w:val="17"/>
            </w:rPr>
            <w:t>Michal Kebort</w:t>
          </w:r>
        </w:p>
      </w:tc>
      <w:tc>
        <w:tcPr>
          <w:tcW w:w="773" w:type="pct"/>
          <w:vAlign w:val="center"/>
        </w:tcPr>
        <w:p w14:paraId="3CFA840B" w14:textId="77777777" w:rsidR="00907E2C" w:rsidRPr="003F04A5" w:rsidRDefault="00907E2C" w:rsidP="00907E2C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23315F"/>
              <w:sz w:val="17"/>
              <w:szCs w:val="17"/>
            </w:rPr>
            <w:t>Jan Hamrník</w:t>
          </w:r>
        </w:p>
      </w:tc>
    </w:tr>
    <w:tr w:rsidR="00907E2C" w:rsidRPr="003F04A5" w14:paraId="70C8CA75" w14:textId="77777777" w:rsidTr="00C55977">
      <w:trPr>
        <w:cantSplit/>
        <w:trHeight w:hRule="exact" w:val="238"/>
      </w:trPr>
      <w:tc>
        <w:tcPr>
          <w:tcW w:w="707" w:type="pct"/>
          <w:vMerge/>
        </w:tcPr>
        <w:p w14:paraId="66B5A74F" w14:textId="77777777" w:rsidR="00907E2C" w:rsidRPr="003F04A5" w:rsidRDefault="00907E2C" w:rsidP="00907E2C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14:paraId="61E06B6C" w14:textId="77777777" w:rsidR="00907E2C" w:rsidRPr="003F04A5" w:rsidRDefault="00907E2C" w:rsidP="00907E2C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Masarykovo náměstí 91/5, 586 01 Jihlava</w:t>
          </w:r>
        </w:p>
      </w:tc>
      <w:tc>
        <w:tcPr>
          <w:tcW w:w="704" w:type="pct"/>
          <w:vMerge w:val="restart"/>
          <w:vAlign w:val="center"/>
        </w:tcPr>
        <w:p w14:paraId="7985F362" w14:textId="77777777" w:rsidR="00907E2C" w:rsidRPr="003F04A5" w:rsidRDefault="00907E2C" w:rsidP="00907E2C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845" w:type="pct"/>
          <w:vAlign w:val="center"/>
        </w:tcPr>
        <w:p w14:paraId="22D6FF0C" w14:textId="77777777" w:rsidR="00907E2C" w:rsidRPr="003F04A5" w:rsidRDefault="00907E2C" w:rsidP="00907E2C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+420 724 060 790</w:t>
          </w:r>
        </w:p>
      </w:tc>
      <w:tc>
        <w:tcPr>
          <w:tcW w:w="773" w:type="pct"/>
          <w:vAlign w:val="center"/>
        </w:tcPr>
        <w:p w14:paraId="2D03405C" w14:textId="77777777" w:rsidR="00907E2C" w:rsidRPr="003F04A5" w:rsidRDefault="00907E2C" w:rsidP="00907E2C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+420 724 454 791</w:t>
          </w:r>
        </w:p>
      </w:tc>
    </w:tr>
    <w:tr w:rsidR="00907E2C" w:rsidRPr="003F04A5" w14:paraId="2FDF1BF2" w14:textId="77777777" w:rsidTr="00C55977">
      <w:trPr>
        <w:cantSplit/>
        <w:trHeight w:hRule="exact" w:val="238"/>
      </w:trPr>
      <w:tc>
        <w:tcPr>
          <w:tcW w:w="707" w:type="pct"/>
          <w:vMerge/>
        </w:tcPr>
        <w:p w14:paraId="620BDDD1" w14:textId="77777777" w:rsidR="00907E2C" w:rsidRPr="003F04A5" w:rsidRDefault="00907E2C" w:rsidP="00907E2C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14:paraId="7C4989BE" w14:textId="77777777" w:rsidR="00907E2C" w:rsidRPr="003F04A5" w:rsidRDefault="00907E2C" w:rsidP="00907E2C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+420 564 578 666</w:t>
          </w:r>
        </w:p>
      </w:tc>
      <w:tc>
        <w:tcPr>
          <w:tcW w:w="704" w:type="pct"/>
          <w:vMerge/>
          <w:vAlign w:val="center"/>
        </w:tcPr>
        <w:p w14:paraId="2C3630AA" w14:textId="77777777" w:rsidR="00907E2C" w:rsidRPr="003F04A5" w:rsidRDefault="00907E2C" w:rsidP="00907E2C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1618" w:type="pct"/>
          <w:gridSpan w:val="2"/>
          <w:vAlign w:val="center"/>
        </w:tcPr>
        <w:p w14:paraId="35F5C04D" w14:textId="77777777" w:rsidR="00907E2C" w:rsidRPr="003F04A5" w:rsidRDefault="00907E2C" w:rsidP="00907E2C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</w:p>
      </w:tc>
    </w:tr>
    <w:tr w:rsidR="00907E2C" w:rsidRPr="003F04A5" w14:paraId="02AB6B65" w14:textId="77777777" w:rsidTr="00C55977">
      <w:trPr>
        <w:cantSplit/>
        <w:trHeight w:hRule="exact" w:val="238"/>
      </w:trPr>
      <w:tc>
        <w:tcPr>
          <w:tcW w:w="707" w:type="pct"/>
          <w:vMerge/>
        </w:tcPr>
        <w:p w14:paraId="1D3FE1D1" w14:textId="77777777" w:rsidR="00907E2C" w:rsidRPr="003F04A5" w:rsidRDefault="00907E2C" w:rsidP="00907E2C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14:paraId="36C6CCAB" w14:textId="77777777" w:rsidR="00907E2C" w:rsidRPr="003F04A5" w:rsidRDefault="00F2758F" w:rsidP="00907E2C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hyperlink r:id="rId2" w:history="1">
            <w:r w:rsidR="00907E2C" w:rsidRPr="003F04A5">
              <w:rPr>
                <w:rStyle w:val="Hypertextovodkaz"/>
                <w:rFonts w:ascii="Cairo" w:hAnsi="Cairo" w:cs="Cairo"/>
                <w:b/>
                <w:color w:val="auto"/>
                <w:sz w:val="17"/>
                <w:szCs w:val="17"/>
                <w:u w:val="none"/>
              </w:rPr>
              <w:t>podatelna@eru.gov.cz</w:t>
            </w:r>
          </w:hyperlink>
        </w:p>
      </w:tc>
      <w:tc>
        <w:tcPr>
          <w:tcW w:w="704" w:type="pct"/>
          <w:vMerge/>
          <w:vAlign w:val="center"/>
        </w:tcPr>
        <w:p w14:paraId="03A68960" w14:textId="77777777" w:rsidR="00907E2C" w:rsidRPr="003F04A5" w:rsidRDefault="00907E2C" w:rsidP="00907E2C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1618" w:type="pct"/>
          <w:gridSpan w:val="2"/>
          <w:vAlign w:val="center"/>
        </w:tcPr>
        <w:p w14:paraId="26F0E5C5" w14:textId="77777777" w:rsidR="00907E2C" w:rsidRPr="003F04A5" w:rsidRDefault="00F2758F" w:rsidP="00907E2C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  <w:hyperlink r:id="rId3" w:history="1">
            <w:r w:rsidR="00907E2C" w:rsidRPr="003F04A5">
              <w:rPr>
                <w:rStyle w:val="Hypertextovodkaz"/>
                <w:rFonts w:ascii="Cairo" w:hAnsi="Cairo" w:cs="Cairo"/>
                <w:b/>
                <w:color w:val="auto"/>
                <w:sz w:val="17"/>
                <w:szCs w:val="17"/>
                <w:u w:val="none"/>
              </w:rPr>
              <w:t>tiskove@eru.gov.cz</w:t>
            </w:r>
          </w:hyperlink>
        </w:p>
      </w:tc>
    </w:tr>
    <w:tr w:rsidR="00907E2C" w:rsidRPr="003F04A5" w14:paraId="5E4074CC" w14:textId="77777777" w:rsidTr="00C55977">
      <w:trPr>
        <w:cantSplit/>
        <w:trHeight w:hRule="exact" w:val="238"/>
      </w:trPr>
      <w:tc>
        <w:tcPr>
          <w:tcW w:w="707" w:type="pct"/>
          <w:vMerge/>
        </w:tcPr>
        <w:p w14:paraId="0543B758" w14:textId="77777777" w:rsidR="00907E2C" w:rsidRPr="003F04A5" w:rsidRDefault="00907E2C" w:rsidP="00907E2C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14:paraId="11DD608C" w14:textId="77777777" w:rsidR="00907E2C" w:rsidRPr="003F04A5" w:rsidRDefault="00907E2C" w:rsidP="00907E2C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ID datové schránky ERÚ eeuaau7</w:t>
          </w:r>
        </w:p>
      </w:tc>
      <w:tc>
        <w:tcPr>
          <w:tcW w:w="704" w:type="pct"/>
          <w:vMerge/>
          <w:vAlign w:val="center"/>
        </w:tcPr>
        <w:p w14:paraId="74CDA075" w14:textId="77777777" w:rsidR="00907E2C" w:rsidRPr="003F04A5" w:rsidRDefault="00907E2C" w:rsidP="00907E2C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1618" w:type="pct"/>
          <w:gridSpan w:val="2"/>
          <w:vAlign w:val="center"/>
        </w:tcPr>
        <w:p w14:paraId="0F918FA5" w14:textId="77777777" w:rsidR="00907E2C" w:rsidRPr="003F04A5" w:rsidRDefault="00907E2C" w:rsidP="00907E2C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dislokované pracoviště ERÚ v</w:t>
          </w:r>
          <w:r>
            <w:rPr>
              <w:rFonts w:ascii="Cairo" w:hAnsi="Cairo" w:cs="Cairo"/>
              <w:b/>
              <w:color w:val="auto"/>
              <w:sz w:val="17"/>
              <w:szCs w:val="17"/>
            </w:rPr>
            <w:t> </w:t>
          </w: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Praze</w:t>
          </w:r>
        </w:p>
      </w:tc>
    </w:tr>
    <w:tr w:rsidR="00907E2C" w:rsidRPr="003F04A5" w14:paraId="0624E2B2" w14:textId="77777777" w:rsidTr="00C55977">
      <w:trPr>
        <w:cantSplit/>
        <w:trHeight w:hRule="exact" w:val="238"/>
      </w:trPr>
      <w:tc>
        <w:tcPr>
          <w:tcW w:w="707" w:type="pct"/>
          <w:vMerge/>
        </w:tcPr>
        <w:p w14:paraId="69CD975D" w14:textId="77777777" w:rsidR="00907E2C" w:rsidRPr="003F04A5" w:rsidRDefault="00907E2C" w:rsidP="00907E2C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14:paraId="0F34C226" w14:textId="77777777" w:rsidR="00907E2C" w:rsidRPr="003F04A5" w:rsidRDefault="00907E2C" w:rsidP="00907E2C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23315F"/>
              <w:sz w:val="17"/>
              <w:szCs w:val="17"/>
            </w:rPr>
            <w:t>eru.gov.cz</w:t>
          </w:r>
        </w:p>
      </w:tc>
      <w:tc>
        <w:tcPr>
          <w:tcW w:w="704" w:type="pct"/>
          <w:vMerge/>
          <w:vAlign w:val="center"/>
        </w:tcPr>
        <w:p w14:paraId="7608ECD7" w14:textId="77777777" w:rsidR="00907E2C" w:rsidRPr="003F04A5" w:rsidRDefault="00907E2C" w:rsidP="00907E2C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1618" w:type="pct"/>
          <w:gridSpan w:val="2"/>
          <w:vAlign w:val="center"/>
        </w:tcPr>
        <w:p w14:paraId="4F72E76B" w14:textId="77777777" w:rsidR="00907E2C" w:rsidRPr="003F04A5" w:rsidRDefault="00907E2C" w:rsidP="00907E2C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56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Jankovcova 1566/2B, 170 00 Praha 7</w:t>
          </w:r>
        </w:p>
      </w:tc>
    </w:tr>
  </w:tbl>
  <w:p w14:paraId="50196C94" w14:textId="77777777" w:rsidR="00907E2C" w:rsidRDefault="00907E2C" w:rsidP="00907E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F2A45" w14:textId="77777777" w:rsidR="00B84FE2" w:rsidRPr="003C6814" w:rsidRDefault="00B84FE2" w:rsidP="003C68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68159" w14:textId="77777777" w:rsidR="00F2758F" w:rsidRDefault="00F2758F" w:rsidP="006928DE">
      <w:pPr>
        <w:spacing w:after="0" w:line="240" w:lineRule="auto"/>
      </w:pPr>
      <w:r>
        <w:separator/>
      </w:r>
    </w:p>
    <w:p w14:paraId="2A3D1B8F" w14:textId="77777777" w:rsidR="00F2758F" w:rsidRDefault="00F2758F"/>
  </w:footnote>
  <w:footnote w:type="continuationSeparator" w:id="0">
    <w:p w14:paraId="7720CB6D" w14:textId="77777777" w:rsidR="00F2758F" w:rsidRDefault="00F2758F" w:rsidP="006928DE">
      <w:pPr>
        <w:spacing w:after="0" w:line="240" w:lineRule="auto"/>
      </w:pPr>
      <w:r>
        <w:continuationSeparator/>
      </w:r>
    </w:p>
    <w:p w14:paraId="40290464" w14:textId="77777777" w:rsidR="00F2758F" w:rsidRDefault="00F275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7813E" w14:textId="77777777" w:rsidR="008510ED" w:rsidRDefault="008510ED" w:rsidP="00BF757E">
    <w:pPr>
      <w:pStyle w:val="Zhlav"/>
      <w:tabs>
        <w:tab w:val="clear" w:pos="567"/>
        <w:tab w:val="clear" w:pos="4536"/>
        <w:tab w:val="clear" w:pos="9072"/>
        <w:tab w:val="clear" w:pos="10206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5F47BA8" wp14:editId="6F38C634">
          <wp:simplePos x="0" y="0"/>
          <wp:positionH relativeFrom="page">
            <wp:posOffset>540385</wp:posOffset>
          </wp:positionH>
          <wp:positionV relativeFrom="page">
            <wp:posOffset>360045</wp:posOffset>
          </wp:positionV>
          <wp:extent cx="1800000" cy="597600"/>
          <wp:effectExtent l="0" t="0" r="0" b="0"/>
          <wp:wrapNone/>
          <wp:docPr id="91" name="Obrázek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RU_logo_celé_bez ochranne zon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528ED" w14:textId="77777777" w:rsidR="003C6814" w:rsidRDefault="003C6814" w:rsidP="003C6814">
    <w:pPr>
      <w:pStyle w:val="Nadpisbezsla"/>
      <w:jc w:val="center"/>
    </w:pPr>
  </w:p>
  <w:p w14:paraId="54D0099A" w14:textId="77777777" w:rsidR="002C42C1" w:rsidRDefault="003C6814" w:rsidP="003C6814">
    <w:pPr>
      <w:pStyle w:val="Nadpisbezsla"/>
      <w:jc w:val="center"/>
    </w:pPr>
    <w:r>
      <w:t>Příloha tiskové zprávy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4.2pt;height:6pt" o:bullet="t">
        <v:imagedata r:id="rId1" o:title="Datový zdroj 256"/>
      </v:shape>
    </w:pict>
  </w:numPicBullet>
  <w:abstractNum w:abstractNumId="0" w15:restartNumberingAfterBreak="0">
    <w:nsid w:val="0DE53D86"/>
    <w:multiLevelType w:val="hybridMultilevel"/>
    <w:tmpl w:val="3C201F88"/>
    <w:lvl w:ilvl="0" w:tplc="1DAE11F8">
      <w:start w:val="1"/>
      <w:numFmt w:val="bullet"/>
      <w:pStyle w:val="Odrkypky"/>
      <w:lvlText w:val=""/>
      <w:lvlPicBulletId w:val="0"/>
      <w:lvlJc w:val="left"/>
      <w:pPr>
        <w:ind w:left="3193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2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953" w:hanging="360"/>
      </w:pPr>
      <w:rPr>
        <w:rFonts w:ascii="Wingdings" w:hAnsi="Wingdings" w:hint="default"/>
      </w:rPr>
    </w:lvl>
  </w:abstractNum>
  <w:abstractNum w:abstractNumId="1" w15:restartNumberingAfterBreak="0">
    <w:nsid w:val="23DA0F17"/>
    <w:multiLevelType w:val="multilevel"/>
    <w:tmpl w:val="381AC3E8"/>
    <w:lvl w:ilvl="0">
      <w:start w:val="1"/>
      <w:numFmt w:val="decimal"/>
      <w:lvlText w:val="%1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23315F" w:themeColor="text2"/>
        <w:sz w:val="3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23315F" w:themeColor="text2"/>
        <w:sz w:val="28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23315F" w:themeColor="accent1"/>
        <w:sz w:val="24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434570BF"/>
    <w:multiLevelType w:val="hybridMultilevel"/>
    <w:tmpl w:val="390A82E6"/>
    <w:lvl w:ilvl="0" w:tplc="B690368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6453E"/>
    <w:multiLevelType w:val="multilevel"/>
    <w:tmpl w:val="3C201F88"/>
    <w:lvl w:ilvl="0">
      <w:start w:val="1"/>
      <w:numFmt w:val="bullet"/>
      <w:lvlText w:val=""/>
      <w:lvlPicBulletId w:val="0"/>
      <w:lvlJc w:val="left"/>
      <w:pPr>
        <w:ind w:left="3193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5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2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53" w:hanging="360"/>
      </w:pPr>
      <w:rPr>
        <w:rFonts w:ascii="Wingdings" w:hAnsi="Wingdings" w:hint="default"/>
      </w:rPr>
    </w:lvl>
  </w:abstractNum>
  <w:abstractNum w:abstractNumId="4" w15:restartNumberingAfterBreak="0">
    <w:nsid w:val="4B327924"/>
    <w:multiLevelType w:val="hybridMultilevel"/>
    <w:tmpl w:val="6C9AADA4"/>
    <w:lvl w:ilvl="0" w:tplc="4C2CB7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65333"/>
    <w:multiLevelType w:val="hybridMultilevel"/>
    <w:tmpl w:val="319EEDF8"/>
    <w:lvl w:ilvl="0" w:tplc="01D824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98BF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7C8762">
      <w:start w:val="174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02AA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D6CD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B63E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3E63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94B6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2AE1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24926D6"/>
    <w:multiLevelType w:val="multilevel"/>
    <w:tmpl w:val="DD3E42E0"/>
    <w:lvl w:ilvl="0">
      <w:start w:val="1"/>
      <w:numFmt w:val="lowerLetter"/>
      <w:pStyle w:val="Odrkypsmeno"/>
      <w:lvlText w:val="%1)"/>
      <w:lvlJc w:val="left"/>
      <w:pPr>
        <w:ind w:left="425" w:hanging="425"/>
      </w:pPr>
      <w:rPr>
        <w:rFonts w:ascii="Arial" w:hAnsi="Arial" w:hint="default"/>
        <w:b/>
        <w:i w:val="0"/>
        <w:color w:val="233060"/>
        <w:sz w:val="22"/>
        <w:u w:val="none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asciiTheme="minorHAnsi" w:hAnsiTheme="minorHAnsi" w:hint="default"/>
        <w:b w:val="0"/>
        <w:i w:val="0"/>
        <w:color w:val="233060"/>
        <w:sz w:val="22"/>
      </w:rPr>
    </w:lvl>
    <w:lvl w:ilvl="2">
      <w:start w:val="1"/>
      <w:numFmt w:val="lowerLetter"/>
      <w:lvlText w:val="%3)"/>
      <w:lvlJc w:val="right"/>
      <w:pPr>
        <w:ind w:left="1275" w:hanging="425"/>
      </w:pPr>
      <w:rPr>
        <w:rFonts w:asciiTheme="minorHAnsi" w:hAnsiTheme="minorHAnsi" w:hint="default"/>
        <w:b w:val="0"/>
        <w:i w:val="0"/>
        <w:color w:val="233060"/>
        <w:sz w:val="22"/>
      </w:rPr>
    </w:lvl>
    <w:lvl w:ilvl="3">
      <w:start w:val="1"/>
      <w:numFmt w:val="lowerLetter"/>
      <w:lvlText w:val="%4)"/>
      <w:lvlJc w:val="left"/>
      <w:pPr>
        <w:ind w:left="1700" w:hanging="425"/>
      </w:pPr>
      <w:rPr>
        <w:rFonts w:asciiTheme="minorHAnsi" w:hAnsiTheme="minorHAnsi" w:hint="default"/>
        <w:b w:val="0"/>
        <w:i w:val="0"/>
        <w:color w:val="233060"/>
        <w:sz w:val="22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7" w15:restartNumberingAfterBreak="0">
    <w:nsid w:val="7C895B12"/>
    <w:multiLevelType w:val="hybridMultilevel"/>
    <w:tmpl w:val="ED3CBC50"/>
    <w:lvl w:ilvl="0" w:tplc="BAFCD654">
      <w:start w:val="1"/>
      <w:numFmt w:val="decimal"/>
      <w:pStyle w:val="Odrkyslo"/>
      <w:lvlText w:val="%1)"/>
      <w:lvlJc w:val="left"/>
      <w:pPr>
        <w:ind w:left="360" w:hanging="360"/>
      </w:pPr>
      <w:rPr>
        <w:rFonts w:ascii="Arial" w:hAnsi="Arial" w:hint="default"/>
        <w:b/>
        <w:i w:val="0"/>
        <w:color w:val="23306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4"/>
  </w:num>
  <w:num w:numId="9">
    <w:abstractNumId w:val="7"/>
  </w:num>
  <w:num w:numId="10">
    <w:abstractNumId w:val="6"/>
  </w:num>
  <w:num w:numId="11">
    <w:abstractNumId w:val="3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57E"/>
    <w:rsid w:val="00001359"/>
    <w:rsid w:val="00001E09"/>
    <w:rsid w:val="00004664"/>
    <w:rsid w:val="00007E10"/>
    <w:rsid w:val="0001107C"/>
    <w:rsid w:val="0001343B"/>
    <w:rsid w:val="0001541E"/>
    <w:rsid w:val="00017405"/>
    <w:rsid w:val="00021030"/>
    <w:rsid w:val="0002137B"/>
    <w:rsid w:val="000218CC"/>
    <w:rsid w:val="000234DB"/>
    <w:rsid w:val="00041F8E"/>
    <w:rsid w:val="00042B20"/>
    <w:rsid w:val="00047AC2"/>
    <w:rsid w:val="000508A5"/>
    <w:rsid w:val="000508BF"/>
    <w:rsid w:val="000571CB"/>
    <w:rsid w:val="000628D5"/>
    <w:rsid w:val="00062A3B"/>
    <w:rsid w:val="000643F7"/>
    <w:rsid w:val="000650B6"/>
    <w:rsid w:val="00071182"/>
    <w:rsid w:val="00072105"/>
    <w:rsid w:val="00075E41"/>
    <w:rsid w:val="00085D46"/>
    <w:rsid w:val="000A084F"/>
    <w:rsid w:val="000A28BD"/>
    <w:rsid w:val="000A290B"/>
    <w:rsid w:val="000B2ACF"/>
    <w:rsid w:val="000C173C"/>
    <w:rsid w:val="000C616C"/>
    <w:rsid w:val="000D1F5E"/>
    <w:rsid w:val="000D6B86"/>
    <w:rsid w:val="000D7595"/>
    <w:rsid w:val="000E79F0"/>
    <w:rsid w:val="000F5202"/>
    <w:rsid w:val="000F75D7"/>
    <w:rsid w:val="000F7C3A"/>
    <w:rsid w:val="00104721"/>
    <w:rsid w:val="00107692"/>
    <w:rsid w:val="00111118"/>
    <w:rsid w:val="00114B4B"/>
    <w:rsid w:val="001211F8"/>
    <w:rsid w:val="001335DD"/>
    <w:rsid w:val="001336B6"/>
    <w:rsid w:val="00136F3D"/>
    <w:rsid w:val="00142183"/>
    <w:rsid w:val="00145076"/>
    <w:rsid w:val="00145122"/>
    <w:rsid w:val="00145FAB"/>
    <w:rsid w:val="001543AC"/>
    <w:rsid w:val="00166498"/>
    <w:rsid w:val="0017345F"/>
    <w:rsid w:val="00177350"/>
    <w:rsid w:val="00177E44"/>
    <w:rsid w:val="00183610"/>
    <w:rsid w:val="001849E6"/>
    <w:rsid w:val="0018545A"/>
    <w:rsid w:val="00185A27"/>
    <w:rsid w:val="00192873"/>
    <w:rsid w:val="00193AA8"/>
    <w:rsid w:val="001A7EA9"/>
    <w:rsid w:val="001B0634"/>
    <w:rsid w:val="001B0B3C"/>
    <w:rsid w:val="001B0E86"/>
    <w:rsid w:val="001B2626"/>
    <w:rsid w:val="001B5017"/>
    <w:rsid w:val="001B5B5F"/>
    <w:rsid w:val="001C2B90"/>
    <w:rsid w:val="001C2BE8"/>
    <w:rsid w:val="001C5CC9"/>
    <w:rsid w:val="001C6B94"/>
    <w:rsid w:val="001D4BFC"/>
    <w:rsid w:val="001D568D"/>
    <w:rsid w:val="001E141D"/>
    <w:rsid w:val="001E1549"/>
    <w:rsid w:val="001E6C42"/>
    <w:rsid w:val="001F6F69"/>
    <w:rsid w:val="00212365"/>
    <w:rsid w:val="00213FC4"/>
    <w:rsid w:val="00216222"/>
    <w:rsid w:val="00225848"/>
    <w:rsid w:val="00225DEF"/>
    <w:rsid w:val="00226D87"/>
    <w:rsid w:val="00227B22"/>
    <w:rsid w:val="00237988"/>
    <w:rsid w:val="00242274"/>
    <w:rsid w:val="00242552"/>
    <w:rsid w:val="002431F5"/>
    <w:rsid w:val="00243D07"/>
    <w:rsid w:val="0024749A"/>
    <w:rsid w:val="0024794B"/>
    <w:rsid w:val="0025494A"/>
    <w:rsid w:val="00257C8F"/>
    <w:rsid w:val="002622B5"/>
    <w:rsid w:val="0027040D"/>
    <w:rsid w:val="0027149D"/>
    <w:rsid w:val="00272E88"/>
    <w:rsid w:val="00285DA6"/>
    <w:rsid w:val="00286E08"/>
    <w:rsid w:val="00291742"/>
    <w:rsid w:val="00291FF6"/>
    <w:rsid w:val="002945B0"/>
    <w:rsid w:val="00294DB5"/>
    <w:rsid w:val="0029689D"/>
    <w:rsid w:val="002A2303"/>
    <w:rsid w:val="002A31D6"/>
    <w:rsid w:val="002B064F"/>
    <w:rsid w:val="002B105B"/>
    <w:rsid w:val="002B351D"/>
    <w:rsid w:val="002B671C"/>
    <w:rsid w:val="002C42C1"/>
    <w:rsid w:val="002C6EC3"/>
    <w:rsid w:val="002D038E"/>
    <w:rsid w:val="002D63FB"/>
    <w:rsid w:val="002D6E2F"/>
    <w:rsid w:val="002E12A6"/>
    <w:rsid w:val="002E2BEA"/>
    <w:rsid w:val="002F0AB8"/>
    <w:rsid w:val="002F21F3"/>
    <w:rsid w:val="002F245E"/>
    <w:rsid w:val="00300D31"/>
    <w:rsid w:val="0030742A"/>
    <w:rsid w:val="00310A30"/>
    <w:rsid w:val="0032020E"/>
    <w:rsid w:val="00323EDA"/>
    <w:rsid w:val="00332C3A"/>
    <w:rsid w:val="00334280"/>
    <w:rsid w:val="0033462F"/>
    <w:rsid w:val="00337693"/>
    <w:rsid w:val="00347A67"/>
    <w:rsid w:val="00350655"/>
    <w:rsid w:val="003521BD"/>
    <w:rsid w:val="0035244C"/>
    <w:rsid w:val="00355AB0"/>
    <w:rsid w:val="0035739A"/>
    <w:rsid w:val="00363661"/>
    <w:rsid w:val="00366076"/>
    <w:rsid w:val="00371634"/>
    <w:rsid w:val="00373FE6"/>
    <w:rsid w:val="0038052E"/>
    <w:rsid w:val="0039125C"/>
    <w:rsid w:val="00393322"/>
    <w:rsid w:val="00396549"/>
    <w:rsid w:val="003976BB"/>
    <w:rsid w:val="003A6038"/>
    <w:rsid w:val="003B10DB"/>
    <w:rsid w:val="003B18DC"/>
    <w:rsid w:val="003B58D1"/>
    <w:rsid w:val="003B79F6"/>
    <w:rsid w:val="003C1370"/>
    <w:rsid w:val="003C59C1"/>
    <w:rsid w:val="003C6814"/>
    <w:rsid w:val="003D123E"/>
    <w:rsid w:val="003D68A7"/>
    <w:rsid w:val="003D72D7"/>
    <w:rsid w:val="003E3C4A"/>
    <w:rsid w:val="003F00F7"/>
    <w:rsid w:val="003F04A5"/>
    <w:rsid w:val="004053E5"/>
    <w:rsid w:val="00411947"/>
    <w:rsid w:val="0041575C"/>
    <w:rsid w:val="00415E5E"/>
    <w:rsid w:val="00432954"/>
    <w:rsid w:val="00435474"/>
    <w:rsid w:val="00435680"/>
    <w:rsid w:val="00436860"/>
    <w:rsid w:val="004401AA"/>
    <w:rsid w:val="00441A0B"/>
    <w:rsid w:val="00443715"/>
    <w:rsid w:val="004457E8"/>
    <w:rsid w:val="00456A0D"/>
    <w:rsid w:val="0045762D"/>
    <w:rsid w:val="00461344"/>
    <w:rsid w:val="00465646"/>
    <w:rsid w:val="004736D9"/>
    <w:rsid w:val="00476642"/>
    <w:rsid w:val="00483BAC"/>
    <w:rsid w:val="00484C81"/>
    <w:rsid w:val="004865D2"/>
    <w:rsid w:val="00486CE8"/>
    <w:rsid w:val="004A0E44"/>
    <w:rsid w:val="004A2BCC"/>
    <w:rsid w:val="004A3810"/>
    <w:rsid w:val="004A391F"/>
    <w:rsid w:val="004B5667"/>
    <w:rsid w:val="004C17C1"/>
    <w:rsid w:val="004C2271"/>
    <w:rsid w:val="004C77D9"/>
    <w:rsid w:val="004D1507"/>
    <w:rsid w:val="004D1A6B"/>
    <w:rsid w:val="004D27B7"/>
    <w:rsid w:val="004D2D1F"/>
    <w:rsid w:val="004E28D5"/>
    <w:rsid w:val="004E7AE6"/>
    <w:rsid w:val="004F3140"/>
    <w:rsid w:val="004F4131"/>
    <w:rsid w:val="004F5CD5"/>
    <w:rsid w:val="005019F6"/>
    <w:rsid w:val="00510576"/>
    <w:rsid w:val="00511193"/>
    <w:rsid w:val="005137D1"/>
    <w:rsid w:val="0052077C"/>
    <w:rsid w:val="00526D10"/>
    <w:rsid w:val="005309C8"/>
    <w:rsid w:val="0053174C"/>
    <w:rsid w:val="00531E13"/>
    <w:rsid w:val="00555C48"/>
    <w:rsid w:val="005640BC"/>
    <w:rsid w:val="00570785"/>
    <w:rsid w:val="00570E2C"/>
    <w:rsid w:val="00570EB7"/>
    <w:rsid w:val="005715D0"/>
    <w:rsid w:val="00573217"/>
    <w:rsid w:val="005772E9"/>
    <w:rsid w:val="005806CD"/>
    <w:rsid w:val="00581A7E"/>
    <w:rsid w:val="00590B03"/>
    <w:rsid w:val="00591F7E"/>
    <w:rsid w:val="005A417E"/>
    <w:rsid w:val="005A51F1"/>
    <w:rsid w:val="005B3608"/>
    <w:rsid w:val="005B7D2F"/>
    <w:rsid w:val="005C317E"/>
    <w:rsid w:val="005C56F8"/>
    <w:rsid w:val="005C6331"/>
    <w:rsid w:val="005D0682"/>
    <w:rsid w:val="005D1E40"/>
    <w:rsid w:val="005D2B44"/>
    <w:rsid w:val="005D5F4D"/>
    <w:rsid w:val="005D6010"/>
    <w:rsid w:val="005D6096"/>
    <w:rsid w:val="005D7FF6"/>
    <w:rsid w:val="005E281B"/>
    <w:rsid w:val="005E7A32"/>
    <w:rsid w:val="005F00DD"/>
    <w:rsid w:val="005F28CE"/>
    <w:rsid w:val="005F3045"/>
    <w:rsid w:val="00600FA7"/>
    <w:rsid w:val="0061012B"/>
    <w:rsid w:val="00620FF5"/>
    <w:rsid w:val="00622B4E"/>
    <w:rsid w:val="00626B39"/>
    <w:rsid w:val="00630B1B"/>
    <w:rsid w:val="00647369"/>
    <w:rsid w:val="00653A74"/>
    <w:rsid w:val="006548AF"/>
    <w:rsid w:val="00654BA2"/>
    <w:rsid w:val="00655B6D"/>
    <w:rsid w:val="00656709"/>
    <w:rsid w:val="006753C5"/>
    <w:rsid w:val="00685617"/>
    <w:rsid w:val="0069211A"/>
    <w:rsid w:val="006928DE"/>
    <w:rsid w:val="00695C15"/>
    <w:rsid w:val="00696E22"/>
    <w:rsid w:val="006A2F62"/>
    <w:rsid w:val="006A54FA"/>
    <w:rsid w:val="006A7D9E"/>
    <w:rsid w:val="006B2A88"/>
    <w:rsid w:val="006B5839"/>
    <w:rsid w:val="006C2C22"/>
    <w:rsid w:val="006C306F"/>
    <w:rsid w:val="006C3B5D"/>
    <w:rsid w:val="006C5D01"/>
    <w:rsid w:val="006D3FFE"/>
    <w:rsid w:val="006D5FE2"/>
    <w:rsid w:val="006D6A1E"/>
    <w:rsid w:val="006E71F3"/>
    <w:rsid w:val="006F48B6"/>
    <w:rsid w:val="00707C91"/>
    <w:rsid w:val="0071179F"/>
    <w:rsid w:val="00715FDD"/>
    <w:rsid w:val="00721FB1"/>
    <w:rsid w:val="00722104"/>
    <w:rsid w:val="00732957"/>
    <w:rsid w:val="00743676"/>
    <w:rsid w:val="00743FFD"/>
    <w:rsid w:val="00747873"/>
    <w:rsid w:val="00750A3E"/>
    <w:rsid w:val="00750CB9"/>
    <w:rsid w:val="00760BF7"/>
    <w:rsid w:val="007644E7"/>
    <w:rsid w:val="0076556C"/>
    <w:rsid w:val="00785109"/>
    <w:rsid w:val="00785AB7"/>
    <w:rsid w:val="007918ED"/>
    <w:rsid w:val="007977DF"/>
    <w:rsid w:val="007A3624"/>
    <w:rsid w:val="007B178E"/>
    <w:rsid w:val="007C14BE"/>
    <w:rsid w:val="007C5374"/>
    <w:rsid w:val="007C6355"/>
    <w:rsid w:val="007D24A8"/>
    <w:rsid w:val="007D781F"/>
    <w:rsid w:val="007E0BE4"/>
    <w:rsid w:val="007E48E5"/>
    <w:rsid w:val="007E49C3"/>
    <w:rsid w:val="007E4A14"/>
    <w:rsid w:val="007F5352"/>
    <w:rsid w:val="007F556F"/>
    <w:rsid w:val="007F5CA1"/>
    <w:rsid w:val="007F735B"/>
    <w:rsid w:val="00804F55"/>
    <w:rsid w:val="00806A75"/>
    <w:rsid w:val="008150F6"/>
    <w:rsid w:val="00824B9D"/>
    <w:rsid w:val="00832840"/>
    <w:rsid w:val="008407F1"/>
    <w:rsid w:val="00841B98"/>
    <w:rsid w:val="00843945"/>
    <w:rsid w:val="008510ED"/>
    <w:rsid w:val="00856364"/>
    <w:rsid w:val="008565E2"/>
    <w:rsid w:val="008752BD"/>
    <w:rsid w:val="008813AD"/>
    <w:rsid w:val="00883CB7"/>
    <w:rsid w:val="00887234"/>
    <w:rsid w:val="00893114"/>
    <w:rsid w:val="00895896"/>
    <w:rsid w:val="008A5083"/>
    <w:rsid w:val="008A5357"/>
    <w:rsid w:val="008B0CA4"/>
    <w:rsid w:val="008B0FCC"/>
    <w:rsid w:val="008B3CF3"/>
    <w:rsid w:val="008C7AD8"/>
    <w:rsid w:val="008E1BF7"/>
    <w:rsid w:val="008E62D6"/>
    <w:rsid w:val="008F1BBF"/>
    <w:rsid w:val="008F5F95"/>
    <w:rsid w:val="008F60D4"/>
    <w:rsid w:val="008F7386"/>
    <w:rsid w:val="00900430"/>
    <w:rsid w:val="00907E2C"/>
    <w:rsid w:val="009221D7"/>
    <w:rsid w:val="0092264C"/>
    <w:rsid w:val="00941E72"/>
    <w:rsid w:val="009455D9"/>
    <w:rsid w:val="009677FD"/>
    <w:rsid w:val="00967F08"/>
    <w:rsid w:val="009725E7"/>
    <w:rsid w:val="00982CAF"/>
    <w:rsid w:val="00983ADE"/>
    <w:rsid w:val="00985FCB"/>
    <w:rsid w:val="00992336"/>
    <w:rsid w:val="009938A0"/>
    <w:rsid w:val="00996E3A"/>
    <w:rsid w:val="009A5ED4"/>
    <w:rsid w:val="009A6B6C"/>
    <w:rsid w:val="009A6EB8"/>
    <w:rsid w:val="009B0F19"/>
    <w:rsid w:val="009B7E1F"/>
    <w:rsid w:val="009C0D03"/>
    <w:rsid w:val="009C33A8"/>
    <w:rsid w:val="009C7AA4"/>
    <w:rsid w:val="009D1EC7"/>
    <w:rsid w:val="009D6024"/>
    <w:rsid w:val="009E259B"/>
    <w:rsid w:val="009E46FA"/>
    <w:rsid w:val="009E4FD9"/>
    <w:rsid w:val="009F0FAF"/>
    <w:rsid w:val="009F3EE7"/>
    <w:rsid w:val="00A02C65"/>
    <w:rsid w:val="00A0374C"/>
    <w:rsid w:val="00A07D24"/>
    <w:rsid w:val="00A115A8"/>
    <w:rsid w:val="00A25AB3"/>
    <w:rsid w:val="00A31ED7"/>
    <w:rsid w:val="00A36EF8"/>
    <w:rsid w:val="00A41D44"/>
    <w:rsid w:val="00A4541D"/>
    <w:rsid w:val="00A466E0"/>
    <w:rsid w:val="00A55E42"/>
    <w:rsid w:val="00A579C4"/>
    <w:rsid w:val="00A65443"/>
    <w:rsid w:val="00A66974"/>
    <w:rsid w:val="00A67729"/>
    <w:rsid w:val="00A703CE"/>
    <w:rsid w:val="00A7133D"/>
    <w:rsid w:val="00A73BA0"/>
    <w:rsid w:val="00A83DC3"/>
    <w:rsid w:val="00A83E3E"/>
    <w:rsid w:val="00A90649"/>
    <w:rsid w:val="00A92427"/>
    <w:rsid w:val="00A927BE"/>
    <w:rsid w:val="00A952DD"/>
    <w:rsid w:val="00A97F12"/>
    <w:rsid w:val="00AA557B"/>
    <w:rsid w:val="00AB015F"/>
    <w:rsid w:val="00AB1251"/>
    <w:rsid w:val="00AB31DB"/>
    <w:rsid w:val="00AB5FCF"/>
    <w:rsid w:val="00AC7773"/>
    <w:rsid w:val="00AD46CB"/>
    <w:rsid w:val="00AD6881"/>
    <w:rsid w:val="00AD712D"/>
    <w:rsid w:val="00AE1652"/>
    <w:rsid w:val="00AE3974"/>
    <w:rsid w:val="00AF04AA"/>
    <w:rsid w:val="00AF4083"/>
    <w:rsid w:val="00B0005F"/>
    <w:rsid w:val="00B01A59"/>
    <w:rsid w:val="00B130C4"/>
    <w:rsid w:val="00B14B69"/>
    <w:rsid w:val="00B15811"/>
    <w:rsid w:val="00B201B2"/>
    <w:rsid w:val="00B26F30"/>
    <w:rsid w:val="00B30F9B"/>
    <w:rsid w:val="00B43E2B"/>
    <w:rsid w:val="00B44A24"/>
    <w:rsid w:val="00B47C91"/>
    <w:rsid w:val="00B50A58"/>
    <w:rsid w:val="00B52210"/>
    <w:rsid w:val="00B565C4"/>
    <w:rsid w:val="00B60595"/>
    <w:rsid w:val="00B6105B"/>
    <w:rsid w:val="00B636A6"/>
    <w:rsid w:val="00B640C3"/>
    <w:rsid w:val="00B645F2"/>
    <w:rsid w:val="00B67FBD"/>
    <w:rsid w:val="00B716A7"/>
    <w:rsid w:val="00B72D0E"/>
    <w:rsid w:val="00B762B1"/>
    <w:rsid w:val="00B77963"/>
    <w:rsid w:val="00B80613"/>
    <w:rsid w:val="00B84FE2"/>
    <w:rsid w:val="00B87185"/>
    <w:rsid w:val="00B96AED"/>
    <w:rsid w:val="00BA1071"/>
    <w:rsid w:val="00BA68D2"/>
    <w:rsid w:val="00BB3DA0"/>
    <w:rsid w:val="00BB441F"/>
    <w:rsid w:val="00BB532D"/>
    <w:rsid w:val="00BB55B4"/>
    <w:rsid w:val="00BD3C29"/>
    <w:rsid w:val="00BD47DA"/>
    <w:rsid w:val="00BD646A"/>
    <w:rsid w:val="00BD6C91"/>
    <w:rsid w:val="00BE6C76"/>
    <w:rsid w:val="00BF47A7"/>
    <w:rsid w:val="00BF757E"/>
    <w:rsid w:val="00BF7DEB"/>
    <w:rsid w:val="00C00F09"/>
    <w:rsid w:val="00C014EB"/>
    <w:rsid w:val="00C0388C"/>
    <w:rsid w:val="00C15057"/>
    <w:rsid w:val="00C165B2"/>
    <w:rsid w:val="00C223D9"/>
    <w:rsid w:val="00C22ED6"/>
    <w:rsid w:val="00C242B1"/>
    <w:rsid w:val="00C25365"/>
    <w:rsid w:val="00C27155"/>
    <w:rsid w:val="00C346AA"/>
    <w:rsid w:val="00C40DFC"/>
    <w:rsid w:val="00C4433F"/>
    <w:rsid w:val="00C444A3"/>
    <w:rsid w:val="00C52EA4"/>
    <w:rsid w:val="00C55B5D"/>
    <w:rsid w:val="00C56C60"/>
    <w:rsid w:val="00C604C6"/>
    <w:rsid w:val="00C6150B"/>
    <w:rsid w:val="00C640D3"/>
    <w:rsid w:val="00C64CF3"/>
    <w:rsid w:val="00C64FC1"/>
    <w:rsid w:val="00C71AE1"/>
    <w:rsid w:val="00C71BD5"/>
    <w:rsid w:val="00C76ADB"/>
    <w:rsid w:val="00C7792F"/>
    <w:rsid w:val="00C95285"/>
    <w:rsid w:val="00CA5051"/>
    <w:rsid w:val="00CA6686"/>
    <w:rsid w:val="00CA7583"/>
    <w:rsid w:val="00CB5C16"/>
    <w:rsid w:val="00CC1122"/>
    <w:rsid w:val="00CC4D9F"/>
    <w:rsid w:val="00CD6214"/>
    <w:rsid w:val="00CD7553"/>
    <w:rsid w:val="00CF2367"/>
    <w:rsid w:val="00CF27D4"/>
    <w:rsid w:val="00CF588E"/>
    <w:rsid w:val="00D0774A"/>
    <w:rsid w:val="00D176C0"/>
    <w:rsid w:val="00D26113"/>
    <w:rsid w:val="00D339D6"/>
    <w:rsid w:val="00D364AA"/>
    <w:rsid w:val="00D4023C"/>
    <w:rsid w:val="00D40733"/>
    <w:rsid w:val="00D514E4"/>
    <w:rsid w:val="00D52D32"/>
    <w:rsid w:val="00D534C7"/>
    <w:rsid w:val="00D62462"/>
    <w:rsid w:val="00D67FAC"/>
    <w:rsid w:val="00D713A7"/>
    <w:rsid w:val="00D8185B"/>
    <w:rsid w:val="00D865EE"/>
    <w:rsid w:val="00D94B77"/>
    <w:rsid w:val="00DA302C"/>
    <w:rsid w:val="00DA3158"/>
    <w:rsid w:val="00DA386C"/>
    <w:rsid w:val="00DB054C"/>
    <w:rsid w:val="00DB12AE"/>
    <w:rsid w:val="00DB1A8C"/>
    <w:rsid w:val="00DC1880"/>
    <w:rsid w:val="00DC3A03"/>
    <w:rsid w:val="00DC4666"/>
    <w:rsid w:val="00DC4AC3"/>
    <w:rsid w:val="00DD13D6"/>
    <w:rsid w:val="00DD6252"/>
    <w:rsid w:val="00DE3452"/>
    <w:rsid w:val="00DE4C3A"/>
    <w:rsid w:val="00DF0D6C"/>
    <w:rsid w:val="00DF4F18"/>
    <w:rsid w:val="00E0093B"/>
    <w:rsid w:val="00E05CC8"/>
    <w:rsid w:val="00E06620"/>
    <w:rsid w:val="00E07899"/>
    <w:rsid w:val="00E15AB4"/>
    <w:rsid w:val="00E17532"/>
    <w:rsid w:val="00E23EC2"/>
    <w:rsid w:val="00E32425"/>
    <w:rsid w:val="00E32F0D"/>
    <w:rsid w:val="00E34B5B"/>
    <w:rsid w:val="00E379AC"/>
    <w:rsid w:val="00E41308"/>
    <w:rsid w:val="00E41804"/>
    <w:rsid w:val="00E47457"/>
    <w:rsid w:val="00E50371"/>
    <w:rsid w:val="00E5491F"/>
    <w:rsid w:val="00E54A42"/>
    <w:rsid w:val="00E57EBD"/>
    <w:rsid w:val="00E60B8F"/>
    <w:rsid w:val="00E60E33"/>
    <w:rsid w:val="00E622EB"/>
    <w:rsid w:val="00E70AEA"/>
    <w:rsid w:val="00E76E8B"/>
    <w:rsid w:val="00E8123B"/>
    <w:rsid w:val="00E82CD6"/>
    <w:rsid w:val="00E84F0E"/>
    <w:rsid w:val="00E97C66"/>
    <w:rsid w:val="00EB0AA6"/>
    <w:rsid w:val="00EB7897"/>
    <w:rsid w:val="00EB7A52"/>
    <w:rsid w:val="00ED1AE9"/>
    <w:rsid w:val="00ED2BD1"/>
    <w:rsid w:val="00ED3741"/>
    <w:rsid w:val="00ED71B0"/>
    <w:rsid w:val="00EE1EFC"/>
    <w:rsid w:val="00EE24ED"/>
    <w:rsid w:val="00EE57CC"/>
    <w:rsid w:val="00EE6238"/>
    <w:rsid w:val="00EF5A47"/>
    <w:rsid w:val="00EF5ABA"/>
    <w:rsid w:val="00F0060D"/>
    <w:rsid w:val="00F10C86"/>
    <w:rsid w:val="00F124CB"/>
    <w:rsid w:val="00F22AD4"/>
    <w:rsid w:val="00F268A0"/>
    <w:rsid w:val="00F2758F"/>
    <w:rsid w:val="00F30640"/>
    <w:rsid w:val="00F336B5"/>
    <w:rsid w:val="00F33812"/>
    <w:rsid w:val="00F411E3"/>
    <w:rsid w:val="00F4225E"/>
    <w:rsid w:val="00F6270A"/>
    <w:rsid w:val="00F73427"/>
    <w:rsid w:val="00F74562"/>
    <w:rsid w:val="00F7613D"/>
    <w:rsid w:val="00F84168"/>
    <w:rsid w:val="00F86961"/>
    <w:rsid w:val="00F878B2"/>
    <w:rsid w:val="00F93C69"/>
    <w:rsid w:val="00FA024A"/>
    <w:rsid w:val="00FB3675"/>
    <w:rsid w:val="00FB6212"/>
    <w:rsid w:val="00FB6439"/>
    <w:rsid w:val="00FC37F2"/>
    <w:rsid w:val="00FC54E6"/>
    <w:rsid w:val="00FD0140"/>
    <w:rsid w:val="00FD3EE8"/>
    <w:rsid w:val="00FD70FD"/>
    <w:rsid w:val="00FE5B2E"/>
    <w:rsid w:val="00FF1BB6"/>
    <w:rsid w:val="00FF396B"/>
    <w:rsid w:val="00F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E36BD"/>
  <w15:docId w15:val="{AF611B1E-FC62-4611-9204-25E9CA2C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B7A52"/>
    <w:pPr>
      <w:spacing w:before="60" w:after="120" w:line="264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3506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A2447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0655"/>
    <w:pPr>
      <w:tabs>
        <w:tab w:val="left" w:pos="567"/>
        <w:tab w:val="center" w:pos="4536"/>
        <w:tab w:val="right" w:pos="9072"/>
        <w:tab w:val="right" w:leader="dot" w:pos="10206"/>
      </w:tabs>
      <w:spacing w:after="0" w:line="240" w:lineRule="auto"/>
    </w:pPr>
    <w:rPr>
      <w:rFonts w:eastAsiaTheme="minorHAnsi"/>
      <w:color w:val="262626" w:themeColor="text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50655"/>
    <w:rPr>
      <w:rFonts w:eastAsiaTheme="minorHAnsi"/>
      <w:color w:val="262626" w:themeColor="text1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50655"/>
    <w:pPr>
      <w:tabs>
        <w:tab w:val="left" w:pos="567"/>
        <w:tab w:val="center" w:pos="4536"/>
        <w:tab w:val="right" w:pos="9072"/>
        <w:tab w:val="right" w:leader="dot" w:pos="10206"/>
      </w:tabs>
      <w:spacing w:after="0" w:line="240" w:lineRule="auto"/>
    </w:pPr>
    <w:rPr>
      <w:rFonts w:eastAsiaTheme="minorHAnsi"/>
      <w:color w:val="262626" w:themeColor="text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50655"/>
    <w:rPr>
      <w:rFonts w:eastAsiaTheme="minorHAnsi"/>
      <w:color w:val="262626" w:themeColor="text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2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928D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qFormat/>
    <w:rsid w:val="006928DE"/>
    <w:rPr>
      <w:color w:val="0000FF"/>
      <w:u w:val="single"/>
    </w:rPr>
  </w:style>
  <w:style w:type="character" w:styleId="Zstupntext">
    <w:name w:val="Placeholder Text"/>
    <w:uiPriority w:val="99"/>
    <w:semiHidden/>
    <w:rsid w:val="00E50371"/>
    <w:rPr>
      <w:color w:val="808080"/>
    </w:rPr>
  </w:style>
  <w:style w:type="paragraph" w:customStyle="1" w:styleId="NadpisX">
    <w:name w:val="Nadpis (X)"/>
    <w:basedOn w:val="Normln"/>
    <w:next w:val="Normln"/>
    <w:link w:val="NadpisXChar"/>
    <w:qFormat/>
    <w:rsid w:val="00142183"/>
    <w:pPr>
      <w:keepNext/>
      <w:keepLines/>
      <w:tabs>
        <w:tab w:val="left" w:pos="851"/>
        <w:tab w:val="right" w:leader="dot" w:pos="10206"/>
      </w:tabs>
      <w:spacing w:before="480" w:after="60" w:line="240" w:lineRule="auto"/>
      <w:outlineLvl w:val="0"/>
    </w:pPr>
    <w:rPr>
      <w:rFonts w:eastAsiaTheme="minorHAnsi"/>
      <w:b/>
      <w:bCs/>
      <w:caps/>
      <w:color w:val="233060"/>
      <w:sz w:val="32"/>
      <w:lang w:eastAsia="en-US"/>
    </w:rPr>
  </w:style>
  <w:style w:type="character" w:customStyle="1" w:styleId="NadpisXChar">
    <w:name w:val="Nadpis (X) Char"/>
    <w:basedOn w:val="Standardnpsmoodstavce"/>
    <w:link w:val="NadpisX"/>
    <w:rsid w:val="00142183"/>
    <w:rPr>
      <w:rFonts w:eastAsiaTheme="minorHAnsi"/>
      <w:b/>
      <w:bCs/>
      <w:caps/>
      <w:color w:val="233060"/>
      <w:sz w:val="32"/>
      <w:lang w:eastAsia="en-US"/>
    </w:rPr>
  </w:style>
  <w:style w:type="paragraph" w:customStyle="1" w:styleId="NadpisXX">
    <w:name w:val="Nadpis (X.X)"/>
    <w:basedOn w:val="Normln"/>
    <w:next w:val="Normln"/>
    <w:link w:val="NadpisXXChar"/>
    <w:qFormat/>
    <w:rsid w:val="00142183"/>
    <w:pPr>
      <w:keepNext/>
      <w:keepLines/>
      <w:tabs>
        <w:tab w:val="left" w:pos="851"/>
        <w:tab w:val="right" w:leader="dot" w:pos="10206"/>
      </w:tabs>
      <w:spacing w:before="480" w:after="60" w:line="240" w:lineRule="auto"/>
      <w:outlineLvl w:val="1"/>
    </w:pPr>
    <w:rPr>
      <w:rFonts w:eastAsiaTheme="minorHAnsi"/>
      <w:b/>
      <w:bCs/>
      <w:color w:val="233060"/>
      <w:sz w:val="28"/>
      <w:szCs w:val="28"/>
      <w:lang w:eastAsia="en-US"/>
    </w:rPr>
  </w:style>
  <w:style w:type="character" w:customStyle="1" w:styleId="NadpisXXChar">
    <w:name w:val="Nadpis (X.X) Char"/>
    <w:basedOn w:val="Standardnpsmoodstavce"/>
    <w:link w:val="NadpisXX"/>
    <w:rsid w:val="00142183"/>
    <w:rPr>
      <w:rFonts w:eastAsiaTheme="minorHAnsi"/>
      <w:b/>
      <w:bCs/>
      <w:color w:val="233060"/>
      <w:sz w:val="28"/>
      <w:szCs w:val="28"/>
      <w:lang w:eastAsia="en-US"/>
    </w:rPr>
  </w:style>
  <w:style w:type="paragraph" w:customStyle="1" w:styleId="NadpisXXX">
    <w:name w:val="Nadpis (X.X.X)"/>
    <w:basedOn w:val="Normln"/>
    <w:next w:val="Normln"/>
    <w:link w:val="NadpisXXXChar"/>
    <w:autoRedefine/>
    <w:qFormat/>
    <w:rsid w:val="00142183"/>
    <w:pPr>
      <w:keepNext/>
      <w:keepLines/>
      <w:tabs>
        <w:tab w:val="left" w:pos="851"/>
        <w:tab w:val="right" w:leader="dot" w:pos="10206"/>
      </w:tabs>
      <w:spacing w:before="480" w:line="240" w:lineRule="auto"/>
      <w:outlineLvl w:val="2"/>
    </w:pPr>
    <w:rPr>
      <w:rFonts w:eastAsiaTheme="minorHAnsi"/>
      <w:b/>
      <w:color w:val="233060"/>
      <w:sz w:val="24"/>
      <w:szCs w:val="24"/>
      <w:lang w:eastAsia="en-US"/>
    </w:rPr>
  </w:style>
  <w:style w:type="character" w:customStyle="1" w:styleId="NadpisXXXChar">
    <w:name w:val="Nadpis (X.X.X) Char"/>
    <w:basedOn w:val="Standardnpsmoodstavce"/>
    <w:link w:val="NadpisXXX"/>
    <w:rsid w:val="00142183"/>
    <w:rPr>
      <w:rFonts w:eastAsiaTheme="minorHAnsi"/>
      <w:b/>
      <w:color w:val="233060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350655"/>
    <w:rPr>
      <w:rFonts w:asciiTheme="majorHAnsi" w:eastAsiaTheme="majorEastAsia" w:hAnsiTheme="majorHAnsi" w:cstheme="majorBidi"/>
      <w:color w:val="1A2447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link w:val="NadpisobsahuChar"/>
    <w:uiPriority w:val="39"/>
    <w:unhideWhenUsed/>
    <w:qFormat/>
    <w:rsid w:val="00350655"/>
    <w:pPr>
      <w:tabs>
        <w:tab w:val="left" w:pos="567"/>
        <w:tab w:val="right" w:leader="dot" w:pos="10206"/>
      </w:tabs>
      <w:spacing w:before="0" w:after="240" w:line="240" w:lineRule="auto"/>
      <w:outlineLvl w:val="9"/>
    </w:pPr>
    <w:rPr>
      <w:b/>
      <w:caps/>
      <w:color w:val="233060"/>
    </w:rPr>
  </w:style>
  <w:style w:type="character" w:customStyle="1" w:styleId="NadpisobsahuChar">
    <w:name w:val="Nadpis obsahu Char"/>
    <w:basedOn w:val="Nadpis1Char"/>
    <w:link w:val="Nadpisobsahu"/>
    <w:uiPriority w:val="39"/>
    <w:rsid w:val="00350655"/>
    <w:rPr>
      <w:rFonts w:asciiTheme="majorHAnsi" w:eastAsiaTheme="majorEastAsia" w:hAnsiTheme="majorHAnsi" w:cstheme="majorBidi"/>
      <w:b/>
      <w:caps/>
      <w:color w:val="233060"/>
      <w:sz w:val="32"/>
      <w:szCs w:val="32"/>
    </w:rPr>
  </w:style>
  <w:style w:type="paragraph" w:customStyle="1" w:styleId="Zdroj">
    <w:name w:val="Zdroj"/>
    <w:basedOn w:val="Normln"/>
    <w:next w:val="Normln"/>
    <w:link w:val="ZdrojChar"/>
    <w:qFormat/>
    <w:rsid w:val="00350655"/>
    <w:pPr>
      <w:tabs>
        <w:tab w:val="left" w:pos="567"/>
        <w:tab w:val="right" w:leader="dot" w:pos="10206"/>
      </w:tabs>
      <w:spacing w:before="120" w:after="360" w:line="240" w:lineRule="auto"/>
    </w:pPr>
    <w:rPr>
      <w:rFonts w:eastAsiaTheme="minorHAnsi"/>
      <w:color w:val="929292" w:themeColor="text1" w:themeTint="80"/>
      <w:sz w:val="20"/>
      <w:lang w:eastAsia="en-US"/>
    </w:rPr>
  </w:style>
  <w:style w:type="character" w:customStyle="1" w:styleId="ZdrojChar">
    <w:name w:val="Zdroj Char"/>
    <w:basedOn w:val="Standardnpsmoodstavce"/>
    <w:link w:val="Zdroj"/>
    <w:rsid w:val="00350655"/>
    <w:rPr>
      <w:rFonts w:eastAsiaTheme="minorHAnsi"/>
      <w:color w:val="929292" w:themeColor="text1" w:themeTint="80"/>
      <w:sz w:val="20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286E08"/>
    <w:pPr>
      <w:tabs>
        <w:tab w:val="left" w:pos="567"/>
        <w:tab w:val="right" w:leader="dot" w:pos="10206"/>
      </w:tabs>
      <w:spacing w:before="0"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86E08"/>
    <w:rPr>
      <w:rFonts w:eastAsiaTheme="minorHAns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286E08"/>
    <w:rPr>
      <w:vertAlign w:val="superscript"/>
    </w:rPr>
  </w:style>
  <w:style w:type="paragraph" w:customStyle="1" w:styleId="Odrkypky">
    <w:name w:val="Odrážky páčky"/>
    <w:basedOn w:val="Normln"/>
    <w:link w:val="OdrkypkyChar"/>
    <w:qFormat/>
    <w:rsid w:val="00286E08"/>
    <w:pPr>
      <w:numPr>
        <w:numId w:val="7"/>
      </w:numPr>
      <w:spacing w:before="120" w:line="240" w:lineRule="auto"/>
      <w:contextualSpacing/>
      <w:jc w:val="both"/>
      <w:outlineLvl w:val="3"/>
    </w:pPr>
    <w:rPr>
      <w:rFonts w:eastAsiaTheme="minorHAnsi"/>
      <w:lang w:eastAsia="en-US"/>
    </w:rPr>
  </w:style>
  <w:style w:type="paragraph" w:styleId="Titulek">
    <w:name w:val="caption"/>
    <w:aliases w:val="Tabulky,Grafy,Obrázky,Přílohy"/>
    <w:next w:val="Normln"/>
    <w:link w:val="TitulekChar"/>
    <w:uiPriority w:val="35"/>
    <w:unhideWhenUsed/>
    <w:qFormat/>
    <w:rsid w:val="00286E08"/>
    <w:pPr>
      <w:keepNext/>
      <w:keepLines/>
      <w:spacing w:before="360" w:after="160" w:line="259" w:lineRule="auto"/>
      <w:ind w:left="1276" w:hanging="1276"/>
    </w:pPr>
    <w:rPr>
      <w:rFonts w:eastAsiaTheme="minorHAnsi"/>
      <w:b/>
      <w:bCs/>
      <w:iCs/>
      <w:color w:val="23315F" w:themeColor="accent1"/>
      <w:lang w:eastAsia="en-US"/>
    </w:rPr>
  </w:style>
  <w:style w:type="character" w:customStyle="1" w:styleId="OdrkypkyChar">
    <w:name w:val="Odrážky páčky Char"/>
    <w:basedOn w:val="Standardnpsmoodstavce"/>
    <w:link w:val="Odrkypky"/>
    <w:rsid w:val="00286E08"/>
    <w:rPr>
      <w:rFonts w:eastAsiaTheme="minorHAnsi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286E08"/>
    <w:pPr>
      <w:tabs>
        <w:tab w:val="left" w:pos="1276"/>
        <w:tab w:val="right" w:leader="dot" w:pos="10206"/>
      </w:tabs>
      <w:spacing w:before="0" w:after="0" w:line="240" w:lineRule="auto"/>
    </w:pPr>
    <w:rPr>
      <w:rFonts w:eastAsiaTheme="minorHAnsi"/>
      <w:lang w:eastAsia="en-US"/>
    </w:rPr>
  </w:style>
  <w:style w:type="paragraph" w:customStyle="1" w:styleId="Titulkamodrnadpis">
    <w:name w:val="Titulka modrý nadpis"/>
    <w:basedOn w:val="Normln"/>
    <w:next w:val="Titulkaervennadpis"/>
    <w:link w:val="TitulkamodrnadpisChar"/>
    <w:qFormat/>
    <w:rsid w:val="00286E08"/>
    <w:pPr>
      <w:keepNext/>
      <w:keepLines/>
      <w:spacing w:before="0" w:line="240" w:lineRule="auto"/>
    </w:pPr>
    <w:rPr>
      <w:rFonts w:eastAsiaTheme="minorHAnsi"/>
      <w:b/>
      <w:caps/>
      <w:color w:val="233060"/>
      <w:sz w:val="48"/>
      <w:szCs w:val="32"/>
      <w:lang w:eastAsia="en-US"/>
    </w:rPr>
  </w:style>
  <w:style w:type="paragraph" w:customStyle="1" w:styleId="Odstavec">
    <w:name w:val="Odstavec"/>
    <w:basedOn w:val="Normln"/>
    <w:link w:val="OdstavecChar"/>
    <w:qFormat/>
    <w:rsid w:val="00286E08"/>
    <w:pPr>
      <w:spacing w:line="240" w:lineRule="auto"/>
      <w:jc w:val="both"/>
    </w:pPr>
    <w:rPr>
      <w:rFonts w:eastAsiaTheme="minorHAnsi"/>
      <w:lang w:eastAsia="en-US"/>
    </w:rPr>
  </w:style>
  <w:style w:type="character" w:customStyle="1" w:styleId="OdstavecChar">
    <w:name w:val="Odstavec Char"/>
    <w:basedOn w:val="Standardnpsmoodstavce"/>
    <w:link w:val="Odstavec"/>
    <w:rsid w:val="00286E08"/>
    <w:rPr>
      <w:rFonts w:eastAsiaTheme="minorHAnsi"/>
      <w:lang w:eastAsia="en-US"/>
    </w:rPr>
  </w:style>
  <w:style w:type="character" w:customStyle="1" w:styleId="TitulekChar">
    <w:name w:val="Titulek Char"/>
    <w:aliases w:val="Tabulky Char,Grafy Char,Obrázky Char,Přílohy Char"/>
    <w:basedOn w:val="Standardnpsmoodstavce"/>
    <w:link w:val="Titulek"/>
    <w:uiPriority w:val="35"/>
    <w:rsid w:val="00286E08"/>
    <w:rPr>
      <w:rFonts w:eastAsiaTheme="minorHAnsi"/>
      <w:b/>
      <w:bCs/>
      <w:iCs/>
      <w:color w:val="23315F" w:themeColor="accent1"/>
      <w:lang w:eastAsia="en-US"/>
    </w:rPr>
  </w:style>
  <w:style w:type="character" w:customStyle="1" w:styleId="TitulkamodrnadpisChar">
    <w:name w:val="Titulka modrý nadpis Char"/>
    <w:basedOn w:val="Standardnpsmoodstavce"/>
    <w:link w:val="Titulkamodrnadpis"/>
    <w:rsid w:val="00286E08"/>
    <w:rPr>
      <w:rFonts w:eastAsiaTheme="minorHAnsi"/>
      <w:b/>
      <w:caps/>
      <w:color w:val="233060"/>
      <w:sz w:val="48"/>
      <w:szCs w:val="32"/>
      <w:lang w:eastAsia="en-US"/>
    </w:rPr>
  </w:style>
  <w:style w:type="paragraph" w:customStyle="1" w:styleId="Titulkaervennadpis">
    <w:name w:val="Titulka červený nadpis"/>
    <w:basedOn w:val="Titulkamodrnadpis"/>
    <w:next w:val="Odstavec"/>
    <w:link w:val="TitulkaervennadpisChar"/>
    <w:qFormat/>
    <w:rsid w:val="00286E08"/>
    <w:rPr>
      <w:color w:val="E02C1F"/>
    </w:rPr>
  </w:style>
  <w:style w:type="paragraph" w:customStyle="1" w:styleId="Tirmodrtext">
    <w:name w:val="Tiráž modrý text"/>
    <w:basedOn w:val="Normln"/>
    <w:next w:val="Tirerventext"/>
    <w:link w:val="TirmodrtextChar"/>
    <w:qFormat/>
    <w:rsid w:val="00286E08"/>
    <w:pPr>
      <w:keepNext/>
      <w:tabs>
        <w:tab w:val="left" w:pos="567"/>
        <w:tab w:val="right" w:leader="dot" w:pos="10206"/>
      </w:tabs>
      <w:spacing w:before="0" w:line="240" w:lineRule="auto"/>
    </w:pPr>
    <w:rPr>
      <w:rFonts w:eastAsiaTheme="minorHAnsi"/>
      <w:b/>
      <w:color w:val="233060"/>
      <w:lang w:eastAsia="en-US"/>
    </w:rPr>
  </w:style>
  <w:style w:type="character" w:customStyle="1" w:styleId="TitulkaervennadpisChar">
    <w:name w:val="Titulka červený nadpis Char"/>
    <w:basedOn w:val="TitulkamodrnadpisChar"/>
    <w:link w:val="Titulkaervennadpis"/>
    <w:rsid w:val="00286E08"/>
    <w:rPr>
      <w:rFonts w:eastAsiaTheme="minorHAnsi"/>
      <w:b/>
      <w:caps/>
      <w:color w:val="E02C1F"/>
      <w:sz w:val="48"/>
      <w:szCs w:val="32"/>
      <w:lang w:eastAsia="en-US"/>
    </w:rPr>
  </w:style>
  <w:style w:type="character" w:customStyle="1" w:styleId="TirmodrtextChar">
    <w:name w:val="Tiráž modrý text Char"/>
    <w:basedOn w:val="Standardnpsmoodstavce"/>
    <w:link w:val="Tirmodrtext"/>
    <w:rsid w:val="00286E08"/>
    <w:rPr>
      <w:rFonts w:eastAsiaTheme="minorHAnsi"/>
      <w:b/>
      <w:color w:val="233060"/>
      <w:lang w:eastAsia="en-US"/>
    </w:rPr>
  </w:style>
  <w:style w:type="paragraph" w:customStyle="1" w:styleId="Tirerventext">
    <w:name w:val="Tiráž červený text"/>
    <w:basedOn w:val="Tirmodrtext"/>
    <w:link w:val="TirerventextChar"/>
    <w:qFormat/>
    <w:rsid w:val="00286E08"/>
    <w:rPr>
      <w:color w:val="E02C1F"/>
    </w:rPr>
  </w:style>
  <w:style w:type="character" w:customStyle="1" w:styleId="TirerventextChar">
    <w:name w:val="Tiráž červený text Char"/>
    <w:basedOn w:val="TirmodrtextChar"/>
    <w:link w:val="Tirerventext"/>
    <w:rsid w:val="00286E08"/>
    <w:rPr>
      <w:rFonts w:eastAsiaTheme="minorHAnsi"/>
      <w:b/>
      <w:color w:val="E02C1F"/>
      <w:lang w:eastAsia="en-US"/>
    </w:rPr>
  </w:style>
  <w:style w:type="paragraph" w:customStyle="1" w:styleId="Hypodkaz">
    <w:name w:val="Hyp. odkaz"/>
    <w:basedOn w:val="Normln"/>
    <w:link w:val="HypodkazChar"/>
    <w:rsid w:val="00286E08"/>
    <w:pPr>
      <w:tabs>
        <w:tab w:val="left" w:pos="1418"/>
        <w:tab w:val="right" w:leader="dot" w:pos="10206"/>
      </w:tabs>
      <w:spacing w:before="0" w:after="60" w:line="240" w:lineRule="auto"/>
    </w:pPr>
    <w:rPr>
      <w:rFonts w:eastAsiaTheme="minorHAnsi"/>
      <w:lang w:eastAsia="en-US"/>
    </w:rPr>
  </w:style>
  <w:style w:type="character" w:customStyle="1" w:styleId="HypodkazChar">
    <w:name w:val="Hyp. odkaz Char"/>
    <w:basedOn w:val="Standardnpsmoodstavce"/>
    <w:link w:val="Hypodkaz"/>
    <w:rsid w:val="00286E08"/>
    <w:rPr>
      <w:rFonts w:eastAsiaTheme="minorHAnsi"/>
      <w:lang w:eastAsia="en-US"/>
    </w:rPr>
  </w:style>
  <w:style w:type="paragraph" w:customStyle="1" w:styleId="NadpisXXXX">
    <w:name w:val="Nadpis (X.X.X.X)"/>
    <w:basedOn w:val="Normln"/>
    <w:next w:val="Odstavec"/>
    <w:qFormat/>
    <w:rsid w:val="00286E08"/>
    <w:pPr>
      <w:keepNext/>
      <w:keepLines/>
      <w:spacing w:before="480" w:line="240" w:lineRule="auto"/>
      <w:ind w:left="851" w:hanging="851"/>
    </w:pPr>
    <w:rPr>
      <w:rFonts w:eastAsiaTheme="minorHAnsi"/>
      <w:b/>
      <w:color w:val="233060"/>
      <w:lang w:eastAsia="en-US"/>
    </w:rPr>
  </w:style>
  <w:style w:type="paragraph" w:customStyle="1" w:styleId="Nadpisbezsla">
    <w:name w:val="Nadpis (bez čísla)"/>
    <w:basedOn w:val="Normln"/>
    <w:next w:val="Normln"/>
    <w:qFormat/>
    <w:rsid w:val="00286E08"/>
    <w:pPr>
      <w:keepNext/>
      <w:spacing w:before="240" w:line="240" w:lineRule="auto"/>
    </w:pPr>
    <w:rPr>
      <w:rFonts w:eastAsiaTheme="minorHAnsi"/>
      <w:b/>
      <w:color w:val="233060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711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11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11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11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1182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85617"/>
    <w:pPr>
      <w:ind w:left="720"/>
      <w:contextualSpacing/>
    </w:pPr>
  </w:style>
  <w:style w:type="paragraph" w:customStyle="1" w:styleId="Odrkyslo">
    <w:name w:val="Odrážky číslo"/>
    <w:basedOn w:val="Normln"/>
    <w:qFormat/>
    <w:rsid w:val="00685617"/>
    <w:pPr>
      <w:numPr>
        <w:numId w:val="9"/>
      </w:numPr>
      <w:spacing w:before="120" w:line="240" w:lineRule="auto"/>
      <w:ind w:left="425" w:hanging="425"/>
      <w:contextualSpacing/>
    </w:pPr>
    <w:rPr>
      <w:rFonts w:eastAsiaTheme="minorHAnsi"/>
      <w:lang w:eastAsia="en-US"/>
    </w:rPr>
  </w:style>
  <w:style w:type="paragraph" w:customStyle="1" w:styleId="Odrkypsmeno">
    <w:name w:val="Odrážky písmeno"/>
    <w:basedOn w:val="Normln"/>
    <w:qFormat/>
    <w:rsid w:val="00685617"/>
    <w:pPr>
      <w:numPr>
        <w:numId w:val="10"/>
      </w:numPr>
      <w:spacing w:before="120" w:line="240" w:lineRule="auto"/>
      <w:contextualSpacing/>
    </w:pPr>
    <w:rPr>
      <w:rFonts w:eastAsiaTheme="minorHAnsi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D568D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580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basedOn w:val="Normln"/>
    <w:uiPriority w:val="1"/>
    <w:qFormat/>
    <w:rsid w:val="00B84FE2"/>
    <w:pPr>
      <w:spacing w:before="0" w:after="0" w:line="240" w:lineRule="auto"/>
      <w:jc w:val="both"/>
    </w:pPr>
    <w:rPr>
      <w:rFonts w:eastAsiaTheme="minorHAnsi" w:cstheme="minorBidi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DC4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1E1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1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387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7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4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7939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8404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9372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5246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iskove@eru.gov.cz" TargetMode="External"/><Relationship Id="rId2" Type="http://schemas.openxmlformats.org/officeDocument/2006/relationships/hyperlink" Target="mailto:podatelna@eru.gov.cz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bort\Desktop\Nov&#225;%20slo&#382;ka%20(2)\20240924_TZ_vraceni_preplatku_prodej_zavodu.dotx" TargetMode="External"/></Relationships>
</file>

<file path=word/theme/theme1.xml><?xml version="1.0" encoding="utf-8"?>
<a:theme xmlns:a="http://schemas.openxmlformats.org/drawingml/2006/main" name="Motiv_ERU_220319">
  <a:themeElements>
    <a:clrScheme name="ERU">
      <a:dk1>
        <a:srgbClr val="262626"/>
      </a:dk1>
      <a:lt1>
        <a:sysClr val="window" lastClr="FFFFFF"/>
      </a:lt1>
      <a:dk2>
        <a:srgbClr val="23315F"/>
      </a:dk2>
      <a:lt2>
        <a:srgbClr val="D0D0D0"/>
      </a:lt2>
      <a:accent1>
        <a:srgbClr val="23315F"/>
      </a:accent1>
      <a:accent2>
        <a:srgbClr val="5A6588"/>
      </a:accent2>
      <a:accent3>
        <a:srgbClr val="9198B0"/>
      </a:accent3>
      <a:accent4>
        <a:srgbClr val="C8CBD7"/>
      </a:accent4>
      <a:accent5>
        <a:srgbClr val="E02C1F"/>
      </a:accent5>
      <a:accent6>
        <a:srgbClr val="E86158"/>
      </a:accent6>
      <a:hlink>
        <a:srgbClr val="0563C1"/>
      </a:hlink>
      <a:folHlink>
        <a:srgbClr val="E02C1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tiv_ERU_220319" id="{5844BF3C-C1CC-4017-B07E-750FE5A171E3}" vid="{B533C786-E6FB-4737-89ED-7118B0121C6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2653488A8FC242A64169106C6835EA" ma:contentTypeVersion="2" ma:contentTypeDescription="Vytvoří nový dokument" ma:contentTypeScope="" ma:versionID="5343ae94bd4b805bc477f1c8543df7b4">
  <xsd:schema xmlns:xsd="http://www.w3.org/2001/XMLSchema" xmlns:xs="http://www.w3.org/2001/XMLSchema" xmlns:p="http://schemas.microsoft.com/office/2006/metadata/properties" xmlns:ns2="f32210cd-666d-4d11-ab48-bfef9714ab3b" targetNamespace="http://schemas.microsoft.com/office/2006/metadata/properties" ma:root="true" ma:fieldsID="2546dc4a1fd471bfac57a8c4eb1d9b2b" ns2:_="">
    <xsd:import namespace="f32210cd-666d-4d11-ab48-bfef9714ab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210cd-666d-4d11-ab48-bfef9714ab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32210cd-666d-4d11-ab48-bfef9714ab3b">
      <UserInfo>
        <DisplayName>Tesař Richard Ing.</DisplayName>
        <AccountId>23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F4872-85A1-4AEC-B827-203B6B01FE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70B535-7737-4F28-8900-709CDF5E1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210cd-666d-4d11-ab48-bfef9714ab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5447E1-6BD9-4072-923F-424EF3652C19}">
  <ds:schemaRefs>
    <ds:schemaRef ds:uri="http://schemas.microsoft.com/office/2006/metadata/properties"/>
    <ds:schemaRef ds:uri="http://schemas.microsoft.com/office/infopath/2007/PartnerControls"/>
    <ds:schemaRef ds:uri="f32210cd-666d-4d11-ab48-bfef9714ab3b"/>
  </ds:schemaRefs>
</ds:datastoreItem>
</file>

<file path=customXml/itemProps4.xml><?xml version="1.0" encoding="utf-8"?>
<ds:datastoreItem xmlns:ds="http://schemas.openxmlformats.org/officeDocument/2006/customXml" ds:itemID="{F9046E95-417D-4A3D-BCA6-B63DDCA7D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20240924_TZ_vraceni_preplatku_prodej_zavodu.dotx</Template>
  <TotalTime>0</TotalTime>
  <Pages>2</Pages>
  <Words>442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Zjednodušený dokument - Na výšku</vt:lpstr>
    </vt:vector>
  </TitlesOfParts>
  <Company>Microsoft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Zjednodušený dokument - Na výšku</dc:title>
  <dc:subject/>
  <dc:creator>Kebort Michal Bc.</dc:creator>
  <cp:keywords/>
  <dc:description/>
  <cp:lastModifiedBy>Kebort Michal Bc.</cp:lastModifiedBy>
  <cp:revision>2</cp:revision>
  <cp:lastPrinted>2025-10-30T08:49:00Z</cp:lastPrinted>
  <dcterms:created xsi:type="dcterms:W3CDTF">2025-12-29T10:46:00Z</dcterms:created>
  <dcterms:modified xsi:type="dcterms:W3CDTF">2025-12-29T10:46:00Z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0x010100962653488A8FC242A64169106C6835EA</vt:lpwstr>
  </property>
  <property fmtid="{D5CDD505-2E9C-101B-9397-08002B2CF9AE}" pid="3" name="Kategorie">
    <vt:lpwstr>Spisová služba</vt:lpwstr>
  </property>
</Properties>
</file>