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ED" w:rsidRPr="00581A7E" w:rsidRDefault="004865D2" w:rsidP="008510ED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 w:rsidRPr="00581A7E">
        <w:rPr>
          <w:sz w:val="28"/>
          <w:szCs w:val="28"/>
        </w:rPr>
        <w:t>ERÚ zahájil konzultační proces</w:t>
      </w:r>
      <w:r w:rsidR="00581A7E">
        <w:rPr>
          <w:sz w:val="28"/>
          <w:szCs w:val="28"/>
        </w:rPr>
        <w:br/>
      </w:r>
      <w:r w:rsidRPr="00581A7E">
        <w:rPr>
          <w:sz w:val="28"/>
          <w:szCs w:val="28"/>
        </w:rPr>
        <w:t xml:space="preserve">k regulovaným cenám </w:t>
      </w:r>
      <w:r w:rsidR="008F7386" w:rsidRPr="00581A7E">
        <w:rPr>
          <w:sz w:val="28"/>
          <w:szCs w:val="28"/>
        </w:rPr>
        <w:t xml:space="preserve">na rok </w:t>
      </w:r>
      <w:r w:rsidRPr="00581A7E">
        <w:rPr>
          <w:sz w:val="28"/>
          <w:szCs w:val="28"/>
        </w:rPr>
        <w:t>2026</w:t>
      </w:r>
    </w:p>
    <w:p w:rsidR="008510ED" w:rsidRPr="00581A7E" w:rsidRDefault="008510ED" w:rsidP="008510ED">
      <w:pPr>
        <w:spacing w:after="180"/>
        <w:rPr>
          <w:lang w:eastAsia="en-US"/>
        </w:rPr>
        <w:sectPr w:rsidR="008510ED" w:rsidRPr="00581A7E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 w:rsidRPr="00581A7E">
        <w:rPr>
          <w:lang w:eastAsia="en-US"/>
        </w:rPr>
        <w:t xml:space="preserve">Tisková zpráva, </w:t>
      </w:r>
      <w:r w:rsidR="004865D2" w:rsidRPr="00581A7E">
        <w:rPr>
          <w:lang w:eastAsia="en-US"/>
        </w:rPr>
        <w:t>30</w:t>
      </w:r>
      <w:r w:rsidRPr="00581A7E">
        <w:rPr>
          <w:lang w:eastAsia="en-US"/>
        </w:rPr>
        <w:t>.</w:t>
      </w:r>
      <w:r w:rsidR="004865D2" w:rsidRPr="00581A7E">
        <w:rPr>
          <w:lang w:eastAsia="en-US"/>
        </w:rPr>
        <w:t>10</w:t>
      </w:r>
      <w:r w:rsidRPr="00581A7E">
        <w:rPr>
          <w:lang w:eastAsia="en-US"/>
        </w:rPr>
        <w:t>.2025</w:t>
      </w:r>
    </w:p>
    <w:p w:rsidR="008510ED" w:rsidRPr="00581A7E" w:rsidRDefault="004865D2" w:rsidP="00017405">
      <w:pPr>
        <w:spacing w:after="240"/>
        <w:jc w:val="both"/>
        <w:rPr>
          <w:b/>
          <w:i/>
        </w:rPr>
      </w:pPr>
      <w:r w:rsidRPr="00581A7E">
        <w:rPr>
          <w:b/>
          <w:i/>
        </w:rPr>
        <w:t>Energetický regulační úřad zahájil veřejný konzultační proces k návrhům cenových výměrů, kterými úřad každoročně stanoví regulované ceny elektřiny a plynu na nadcházející rok</w:t>
      </w:r>
      <w:r w:rsidR="008510ED" w:rsidRPr="00581A7E">
        <w:rPr>
          <w:b/>
          <w:i/>
        </w:rPr>
        <w:t>.</w:t>
      </w:r>
      <w:r w:rsidRPr="00581A7E">
        <w:rPr>
          <w:b/>
          <w:i/>
        </w:rPr>
        <w:t xml:space="preserve"> Podle energetického zákona musí úřad nové regulované ceny stanovit do konce listopadu</w:t>
      </w:r>
      <w:r w:rsidR="008F7386" w:rsidRPr="00581A7E">
        <w:rPr>
          <w:b/>
          <w:i/>
        </w:rPr>
        <w:t>, tomu musí předcházet veřejný konzultační proces</w:t>
      </w:r>
      <w:r w:rsidRPr="00581A7E">
        <w:rPr>
          <w:b/>
          <w:i/>
        </w:rPr>
        <w:t>. V případě dodatečných změn (např. změna výše státní dotace na POZE) je ERÚ připraven neprodleně vydat změnový cenový výměr.</w:t>
      </w:r>
    </w:p>
    <w:p w:rsidR="004865D2" w:rsidRPr="00581A7E" w:rsidRDefault="004865D2" w:rsidP="002945B0">
      <w:pPr>
        <w:spacing w:after="180"/>
        <w:jc w:val="both"/>
      </w:pPr>
      <w:r w:rsidRPr="00581A7E">
        <w:t>Rok 2026 bude prvním rokem VI. regulační</w:t>
      </w:r>
      <w:r w:rsidR="00581A7E">
        <w:t>ho</w:t>
      </w:r>
      <w:r w:rsidRPr="00581A7E">
        <w:t xml:space="preserve"> období (2026-2030), kdy budou ceny stanovovány podle nové </w:t>
      </w:r>
      <w:hyperlink r:id="rId13" w:history="1">
        <w:r w:rsidRPr="00581A7E">
          <w:rPr>
            <w:rStyle w:val="Hypertextovodkaz"/>
          </w:rPr>
          <w:t>Metodiky cenové regulace</w:t>
        </w:r>
      </w:hyperlink>
      <w:r w:rsidRPr="00581A7E">
        <w:t xml:space="preserve">. Metodika reaguje především na </w:t>
      </w:r>
      <w:r w:rsidR="008F7386" w:rsidRPr="00581A7E">
        <w:t xml:space="preserve">probíhající </w:t>
      </w:r>
      <w:r w:rsidRPr="00581A7E">
        <w:t>transformaci celé energetiky</w:t>
      </w:r>
      <w:r w:rsidR="00E97C66" w:rsidRPr="00581A7E">
        <w:t xml:space="preserve"> a související potřebu </w:t>
      </w:r>
      <w:r w:rsidR="008F7386" w:rsidRPr="00581A7E">
        <w:t>investic</w:t>
      </w:r>
      <w:r w:rsidRPr="00581A7E">
        <w:t xml:space="preserve"> </w:t>
      </w:r>
      <w:r w:rsidR="00E97C66" w:rsidRPr="00581A7E">
        <w:t>do energetických soustav nejen kvůli jejich nezbytné</w:t>
      </w:r>
      <w:r w:rsidR="008F7386" w:rsidRPr="00581A7E">
        <w:t>mu rozvoji a</w:t>
      </w:r>
      <w:r w:rsidR="00581A7E">
        <w:t> </w:t>
      </w:r>
      <w:r w:rsidR="00E97C66" w:rsidRPr="00581A7E">
        <w:t xml:space="preserve">modernizaci, ale také posílení bezpečnosti a spolehlivosti dodávek. </w:t>
      </w:r>
      <w:r w:rsidR="00E34B5B" w:rsidRPr="00581A7E">
        <w:t xml:space="preserve">Plánované investice v elektroenergetice a plynárenství pro VI. regulační období dosahují v pětiletém úhrnu téměř 240 miliard korun. </w:t>
      </w:r>
      <w:r w:rsidR="00E97C66" w:rsidRPr="00581A7E">
        <w:t>Nov</w:t>
      </w:r>
      <w:r w:rsidR="008F7386" w:rsidRPr="00581A7E">
        <w:t>ě nastavená</w:t>
      </w:r>
      <w:r w:rsidR="00E97C66" w:rsidRPr="00581A7E">
        <w:t xml:space="preserve"> pravidla zároveň umožňují lepší kontrolu </w:t>
      </w:r>
      <w:r w:rsidR="008F7386" w:rsidRPr="00581A7E">
        <w:t>a zacílení</w:t>
      </w:r>
      <w:r w:rsidR="00E97C66" w:rsidRPr="00581A7E">
        <w:t xml:space="preserve"> investic a efektivnější zapojení dotací.</w:t>
      </w:r>
    </w:p>
    <w:p w:rsidR="00E97C66" w:rsidRPr="00581A7E" w:rsidRDefault="00E97C66" w:rsidP="002945B0">
      <w:pPr>
        <w:spacing w:after="180"/>
        <w:jc w:val="both"/>
      </w:pPr>
      <w:r w:rsidRPr="00581A7E">
        <w:t>Aktuální návrhy cenových výměrů</w:t>
      </w:r>
      <w:r w:rsidR="00663CFD">
        <w:t xml:space="preserve"> pro </w:t>
      </w:r>
      <w:hyperlink r:id="rId14" w:history="1">
        <w:r w:rsidR="00663CFD" w:rsidRPr="00663CFD">
          <w:rPr>
            <w:rStyle w:val="Hypertextovodkaz"/>
          </w:rPr>
          <w:t>elektroenergetiku</w:t>
        </w:r>
      </w:hyperlink>
      <w:r w:rsidR="00663CFD">
        <w:t xml:space="preserve"> a </w:t>
      </w:r>
      <w:hyperlink r:id="rId15" w:history="1">
        <w:r w:rsidR="00663CFD" w:rsidRPr="00663CFD">
          <w:rPr>
            <w:rStyle w:val="Hypertextovodkaz"/>
          </w:rPr>
          <w:t>plynárenství</w:t>
        </w:r>
      </w:hyperlink>
      <w:bookmarkStart w:id="0" w:name="_GoBack"/>
      <w:bookmarkEnd w:id="0"/>
      <w:r w:rsidRPr="00581A7E">
        <w:t xml:space="preserve">, v souladu </w:t>
      </w:r>
      <w:r w:rsidR="008F7386" w:rsidRPr="00581A7E">
        <w:t xml:space="preserve">s </w:t>
      </w:r>
      <w:r w:rsidRPr="00581A7E">
        <w:t>odhady zveřejněnými již při vydání Metodiky cenové regulace, předpokládají meziroční nárůsty regulovaných cen nejvýše o jeden až dva procentní body nad hodnotou inflace.</w:t>
      </w:r>
    </w:p>
    <w:p w:rsidR="00E97C66" w:rsidRPr="00581A7E" w:rsidRDefault="008F7386" w:rsidP="002945B0">
      <w:pPr>
        <w:spacing w:after="180"/>
        <w:jc w:val="both"/>
      </w:pPr>
      <w:r w:rsidRPr="00581A7E">
        <w:t>Za aktuálních podmínek by regulované ceny v </w:t>
      </w:r>
      <w:r w:rsidR="00E97C66" w:rsidRPr="00581A7E">
        <w:t xml:space="preserve">elektroenergetice na hladině nízkého napětí měly v průměru růst o 2,7 %. Na hladině vysokého napětí je předpokládán pokles o 2,7 %, </w:t>
      </w:r>
      <w:r w:rsidR="00E34B5B" w:rsidRPr="00581A7E">
        <w:t xml:space="preserve">na hladině velmi vysokého napětí pokles </w:t>
      </w:r>
      <w:r w:rsidR="00581A7E">
        <w:t xml:space="preserve">o </w:t>
      </w:r>
      <w:r w:rsidR="00E34B5B" w:rsidRPr="00581A7E">
        <w:t>7,3 %. Hlavním faktorem ovlivňujícím regulované ceny jsou rostoucí náklady na</w:t>
      </w:r>
      <w:r w:rsidR="00581A7E">
        <w:t> </w:t>
      </w:r>
      <w:r w:rsidRPr="00581A7E">
        <w:t xml:space="preserve">modernizaci </w:t>
      </w:r>
      <w:r w:rsidR="00E34B5B" w:rsidRPr="00581A7E">
        <w:t xml:space="preserve">a </w:t>
      </w:r>
      <w:r w:rsidRPr="00581A7E">
        <w:t xml:space="preserve">provoz </w:t>
      </w:r>
      <w:r w:rsidR="00E34B5B" w:rsidRPr="00581A7E">
        <w:t>soustav</w:t>
      </w:r>
      <w:r w:rsidR="00A952DD" w:rsidRPr="00581A7E">
        <w:t>.</w:t>
      </w:r>
      <w:r w:rsidR="00E34B5B" w:rsidRPr="00581A7E">
        <w:t xml:space="preserve"> </w:t>
      </w:r>
      <w:r w:rsidR="00A952DD" w:rsidRPr="00581A7E">
        <w:t>O</w:t>
      </w:r>
      <w:r w:rsidR="00E34B5B" w:rsidRPr="00581A7E">
        <w:t>pačným směrem působí pokles nákladů na zajištění systémových služeb a krytí technických ztrát</w:t>
      </w:r>
      <w:r w:rsidR="008F5F95" w:rsidRPr="00581A7E">
        <w:t>,</w:t>
      </w:r>
      <w:r w:rsidR="00A952DD" w:rsidRPr="00581A7E">
        <w:t xml:space="preserve"> </w:t>
      </w:r>
      <w:r w:rsidR="008F5F95" w:rsidRPr="00581A7E">
        <w:t>na vyšších napěťových hladinách také</w:t>
      </w:r>
      <w:r w:rsidR="00E34B5B" w:rsidRPr="00581A7E">
        <w:t xml:space="preserve"> navýšení dotace na POZE ze státního rozpočtu.</w:t>
      </w:r>
    </w:p>
    <w:p w:rsidR="00A952DD" w:rsidRPr="00581A7E" w:rsidRDefault="00A952DD" w:rsidP="00A952DD">
      <w:pPr>
        <w:spacing w:after="180"/>
        <w:jc w:val="both"/>
      </w:pPr>
      <w:r w:rsidRPr="00581A7E">
        <w:rPr>
          <w:i/>
        </w:rPr>
        <w:t xml:space="preserve">„V případě elektroenergetiky návrhy cenových výměrů </w:t>
      </w:r>
      <w:r w:rsidR="008F5F95" w:rsidRPr="00581A7E">
        <w:rPr>
          <w:i/>
        </w:rPr>
        <w:t xml:space="preserve">vycházejí z aktuálně schváleného usnesení vlády, které </w:t>
      </w:r>
      <w:r w:rsidRPr="00581A7E">
        <w:rPr>
          <w:i/>
        </w:rPr>
        <w:t>počít</w:t>
      </w:r>
      <w:r w:rsidR="008F5F95" w:rsidRPr="00581A7E">
        <w:rPr>
          <w:i/>
        </w:rPr>
        <w:t>á</w:t>
      </w:r>
      <w:r w:rsidRPr="00581A7E">
        <w:rPr>
          <w:i/>
        </w:rPr>
        <w:t xml:space="preserve"> s dotací ze státního rozpočtu</w:t>
      </w:r>
      <w:r w:rsidR="008F5F95" w:rsidRPr="00581A7E">
        <w:rPr>
          <w:i/>
        </w:rPr>
        <w:t xml:space="preserve"> ve výši </w:t>
      </w:r>
      <w:r w:rsidRPr="00581A7E">
        <w:rPr>
          <w:i/>
        </w:rPr>
        <w:t xml:space="preserve">24,6 miliardy. Pokud by na sebe stát převzal celé financování podpory POZE, jak </w:t>
      </w:r>
      <w:r w:rsidR="008F5F95" w:rsidRPr="00581A7E">
        <w:rPr>
          <w:i/>
        </w:rPr>
        <w:t>je nyní</w:t>
      </w:r>
      <w:r w:rsidR="00BE6C76" w:rsidRPr="00581A7E">
        <w:rPr>
          <w:i/>
        </w:rPr>
        <w:t xml:space="preserve"> </w:t>
      </w:r>
      <w:r w:rsidRPr="00581A7E">
        <w:rPr>
          <w:i/>
        </w:rPr>
        <w:t>avizováno, ERÚ změnu do cenových výměrů neprodleně promítne. Pro ilustraci, na hladině nízkého napětí by</w:t>
      </w:r>
      <w:r w:rsidR="0035739A" w:rsidRPr="00581A7E">
        <w:rPr>
          <w:i/>
        </w:rPr>
        <w:t xml:space="preserve"> tento krok vedl k průměrnému poklesu regulovaných cen </w:t>
      </w:r>
      <w:r w:rsidR="008F5F95" w:rsidRPr="00581A7E">
        <w:rPr>
          <w:i/>
        </w:rPr>
        <w:t xml:space="preserve">zhruba </w:t>
      </w:r>
      <w:r w:rsidR="0035739A" w:rsidRPr="00581A7E">
        <w:rPr>
          <w:i/>
        </w:rPr>
        <w:t xml:space="preserve">o </w:t>
      </w:r>
      <w:r w:rsidRPr="00581A7E">
        <w:rPr>
          <w:i/>
        </w:rPr>
        <w:t>15 procent</w:t>
      </w:r>
      <w:r w:rsidR="007C6355">
        <w:rPr>
          <w:i/>
        </w:rPr>
        <w:t>. Na vyšších napěťových hladinách by byl dopad ještě výraznější,</w:t>
      </w:r>
      <w:r w:rsidRPr="00581A7E">
        <w:rPr>
          <w:i/>
        </w:rPr>
        <w:t xml:space="preserve">“ </w:t>
      </w:r>
      <w:r w:rsidRPr="00581A7E">
        <w:t xml:space="preserve">upřesňuje </w:t>
      </w:r>
      <w:r w:rsidRPr="00581A7E">
        <w:rPr>
          <w:b/>
        </w:rPr>
        <w:t>Jan Šefránek, předseda ERÚ</w:t>
      </w:r>
      <w:r w:rsidRPr="00581A7E">
        <w:t>.</w:t>
      </w:r>
    </w:p>
    <w:p w:rsidR="00581A7E" w:rsidRPr="00021030" w:rsidRDefault="00E34B5B">
      <w:pPr>
        <w:spacing w:after="180"/>
        <w:jc w:val="both"/>
      </w:pPr>
      <w:r w:rsidRPr="00581A7E">
        <w:t>V oblasti plynárenství návrhy cenových výměrů předpokládají nárůst regulovaných cen o 4,7 % pro maloodběratele, resp. o 4,5 % pro velkoodběratele. Primárn</w:t>
      </w:r>
      <w:r w:rsidR="005C6331" w:rsidRPr="00581A7E">
        <w:t xml:space="preserve">í důvody jsou stejné jako v elektroenergetice, tedy rostoucí náklady na </w:t>
      </w:r>
      <w:r w:rsidR="008F5F95" w:rsidRPr="00581A7E">
        <w:t xml:space="preserve">obnovu </w:t>
      </w:r>
      <w:r w:rsidR="005C6331" w:rsidRPr="00581A7E">
        <w:t xml:space="preserve">a </w:t>
      </w:r>
      <w:r w:rsidR="008F5F95" w:rsidRPr="00581A7E">
        <w:t xml:space="preserve">provoz </w:t>
      </w:r>
      <w:r w:rsidR="005C6331" w:rsidRPr="00581A7E">
        <w:t>soustav. V plynárenství má podstatný vliv také rapidní pokles spotřeby z posledních let</w:t>
      </w:r>
      <w:r w:rsidR="00A952DD" w:rsidRPr="00581A7E">
        <w:t xml:space="preserve">. Spotřeba nyní </w:t>
      </w:r>
      <w:r w:rsidR="005C6331" w:rsidRPr="00581A7E">
        <w:t>sice znovu roste, ale jen velmi pozvolna</w:t>
      </w:r>
      <w:r w:rsidR="00A952DD" w:rsidRPr="00581A7E">
        <w:t xml:space="preserve"> a zdaleka nedosahuje předkrizových hodnot</w:t>
      </w:r>
      <w:r w:rsidR="005C6331" w:rsidRPr="00581A7E">
        <w:t>. Meziročně se</w:t>
      </w:r>
      <w:r w:rsidR="00A952DD" w:rsidRPr="00581A7E">
        <w:t xml:space="preserve"> v regulovaných cenách plynu</w:t>
      </w:r>
      <w:r w:rsidR="005C6331" w:rsidRPr="00581A7E">
        <w:t xml:space="preserve"> pozitivně projevuje pokles nákladů na</w:t>
      </w:r>
      <w:r w:rsidR="00581A7E">
        <w:t> </w:t>
      </w:r>
      <w:r w:rsidR="005C6331" w:rsidRPr="00581A7E">
        <w:t>krytí technických ztrát a také mírné oživení mezinárodního tranzitu plynu přes naše území</w:t>
      </w:r>
      <w:r w:rsidR="008F5F95" w:rsidRPr="00581A7E">
        <w:t>, které se díky změnám pravidel regulace promítá ve prospěch domácích zákazníků</w:t>
      </w:r>
      <w:r w:rsidR="005C6331" w:rsidRPr="00581A7E">
        <w:t>.</w:t>
      </w:r>
    </w:p>
    <w:sectPr w:rsidR="00581A7E" w:rsidRPr="00021030" w:rsidSect="00017405">
      <w:headerReference w:type="default" r:id="rId16"/>
      <w:footerReference w:type="default" r:id="rId17"/>
      <w:type w:val="continuous"/>
      <w:pgSz w:w="11906" w:h="16838" w:code="9"/>
      <w:pgMar w:top="851" w:right="851" w:bottom="1418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61" w:rsidRDefault="005C2A61" w:rsidP="006928DE">
      <w:pPr>
        <w:spacing w:after="0" w:line="240" w:lineRule="auto"/>
      </w:pPr>
      <w:r>
        <w:separator/>
      </w:r>
    </w:p>
    <w:p w:rsidR="005C2A61" w:rsidRDefault="005C2A61"/>
  </w:endnote>
  <w:endnote w:type="continuationSeparator" w:id="0">
    <w:p w:rsidR="005C2A61" w:rsidRDefault="005C2A61" w:rsidP="006928DE">
      <w:pPr>
        <w:spacing w:after="0" w:line="240" w:lineRule="auto"/>
      </w:pPr>
      <w:r>
        <w:continuationSeparator/>
      </w:r>
    </w:p>
    <w:p w:rsidR="005C2A61" w:rsidRDefault="005C2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7E" w:rsidRDefault="00581A7E" w:rsidP="00581A7E">
    <w:pPr>
      <w:pStyle w:val="Zpat"/>
    </w:pPr>
  </w:p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581A7E" w:rsidRPr="003F04A5" w:rsidTr="00146645">
      <w:trPr>
        <w:cantSplit/>
        <w:trHeight w:hRule="exact" w:val="238"/>
      </w:trPr>
      <w:tc>
        <w:tcPr>
          <w:tcW w:w="707" w:type="pct"/>
          <w:vMerge w:val="restart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664384" behindDoc="1" locked="1" layoutInCell="1" allowOverlap="0" wp14:anchorId="1C490574" wp14:editId="3862E532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581A7E" w:rsidRPr="003F04A5" w:rsidTr="00146645">
      <w:trPr>
        <w:cantSplit/>
        <w:trHeight w:hRule="exact" w:val="238"/>
      </w:trPr>
      <w:tc>
        <w:tcPr>
          <w:tcW w:w="707" w:type="pct"/>
          <w:vMerge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581A7E" w:rsidRPr="003F04A5" w:rsidTr="00146645">
      <w:trPr>
        <w:cantSplit/>
        <w:trHeight w:hRule="exact" w:val="238"/>
      </w:trPr>
      <w:tc>
        <w:tcPr>
          <w:tcW w:w="707" w:type="pct"/>
          <w:vMerge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581A7E" w:rsidRPr="003F04A5" w:rsidTr="00146645">
      <w:trPr>
        <w:cantSplit/>
        <w:trHeight w:hRule="exact" w:val="238"/>
      </w:trPr>
      <w:tc>
        <w:tcPr>
          <w:tcW w:w="707" w:type="pct"/>
          <w:vMerge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581A7E" w:rsidRPr="003F04A5" w:rsidRDefault="005C2A61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581A7E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581A7E" w:rsidRPr="003F04A5" w:rsidRDefault="005C2A61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581A7E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581A7E" w:rsidRPr="003F04A5" w:rsidTr="00146645">
      <w:trPr>
        <w:cantSplit/>
        <w:trHeight w:hRule="exact" w:val="238"/>
      </w:trPr>
      <w:tc>
        <w:tcPr>
          <w:tcW w:w="707" w:type="pct"/>
          <w:vMerge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581A7E" w:rsidRPr="003F04A5" w:rsidTr="00146645">
      <w:trPr>
        <w:cantSplit/>
        <w:trHeight w:hRule="exact" w:val="238"/>
      </w:trPr>
      <w:tc>
        <w:tcPr>
          <w:tcW w:w="707" w:type="pct"/>
          <w:vMerge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581A7E" w:rsidRPr="003F04A5" w:rsidRDefault="00581A7E" w:rsidP="00581A7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:rsidR="00581A7E" w:rsidRPr="003F04A5" w:rsidRDefault="00581A7E" w:rsidP="00581A7E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  <w:p w:rsidR="00581A7E" w:rsidRPr="00B84FE2" w:rsidRDefault="00581A7E" w:rsidP="00581A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F5E" w:rsidRDefault="000D1F5E" w:rsidP="000D1F5E">
    <w:pPr>
      <w:pStyle w:val="Zpat"/>
    </w:pPr>
  </w:p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0D1F5E" w:rsidRPr="003F04A5" w:rsidTr="006B02EA">
      <w:trPr>
        <w:cantSplit/>
        <w:trHeight w:hRule="exact" w:val="238"/>
      </w:trPr>
      <w:tc>
        <w:tcPr>
          <w:tcW w:w="707" w:type="pct"/>
          <w:vMerge w:val="restart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662336" behindDoc="1" locked="1" layoutInCell="1" allowOverlap="0" wp14:anchorId="7A6A4E65" wp14:editId="5B4E69AF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9" name="Obrázek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0D1F5E" w:rsidRPr="003F04A5" w:rsidTr="006B02EA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0D1F5E" w:rsidRPr="003F04A5" w:rsidTr="006B02EA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0D1F5E" w:rsidRPr="003F04A5" w:rsidTr="006B02EA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5C2A61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0D1F5E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5C2A61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0D1F5E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0D1F5E" w:rsidRPr="003F04A5" w:rsidTr="006B02EA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0D1F5E" w:rsidRPr="003F04A5" w:rsidTr="006B02EA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:rsidR="000D1F5E" w:rsidRPr="003F04A5" w:rsidRDefault="000D1F5E" w:rsidP="000D1F5E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  <w:p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61" w:rsidRDefault="005C2A61" w:rsidP="006928DE">
      <w:pPr>
        <w:spacing w:after="0" w:line="240" w:lineRule="auto"/>
      </w:pPr>
      <w:r>
        <w:separator/>
      </w:r>
    </w:p>
    <w:p w:rsidR="005C2A61" w:rsidRDefault="005C2A61"/>
  </w:footnote>
  <w:footnote w:type="continuationSeparator" w:id="0">
    <w:p w:rsidR="005C2A61" w:rsidRDefault="005C2A61" w:rsidP="006928DE">
      <w:pPr>
        <w:spacing w:after="0" w:line="240" w:lineRule="auto"/>
      </w:pPr>
      <w:r>
        <w:continuationSeparator/>
      </w:r>
    </w:p>
    <w:p w:rsidR="005C2A61" w:rsidRDefault="005C2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ED" w:rsidRDefault="008510ED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7893B" wp14:editId="5758881B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5.2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42B20"/>
    <w:rsid w:val="00047AC2"/>
    <w:rsid w:val="000508A5"/>
    <w:rsid w:val="000508BF"/>
    <w:rsid w:val="000571CB"/>
    <w:rsid w:val="000628D5"/>
    <w:rsid w:val="00062A3B"/>
    <w:rsid w:val="000650B6"/>
    <w:rsid w:val="00071182"/>
    <w:rsid w:val="00072105"/>
    <w:rsid w:val="00075E41"/>
    <w:rsid w:val="00085D46"/>
    <w:rsid w:val="000A084F"/>
    <w:rsid w:val="000A28BD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6C42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42C1"/>
    <w:rsid w:val="002C6EC3"/>
    <w:rsid w:val="002D63FB"/>
    <w:rsid w:val="002E12A6"/>
    <w:rsid w:val="002E2BEA"/>
    <w:rsid w:val="002F0AB8"/>
    <w:rsid w:val="002F21F3"/>
    <w:rsid w:val="002F245E"/>
    <w:rsid w:val="00300D31"/>
    <w:rsid w:val="0030742A"/>
    <w:rsid w:val="00310A30"/>
    <w:rsid w:val="00323EDA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6076"/>
    <w:rsid w:val="00371634"/>
    <w:rsid w:val="00373FE6"/>
    <w:rsid w:val="0039125C"/>
    <w:rsid w:val="00396549"/>
    <w:rsid w:val="003976BB"/>
    <w:rsid w:val="003A6038"/>
    <w:rsid w:val="003B10DB"/>
    <w:rsid w:val="003B18DC"/>
    <w:rsid w:val="003B79F6"/>
    <w:rsid w:val="003C1370"/>
    <w:rsid w:val="003C59C1"/>
    <w:rsid w:val="003D123E"/>
    <w:rsid w:val="003D68A7"/>
    <w:rsid w:val="003D72D7"/>
    <w:rsid w:val="003F00F7"/>
    <w:rsid w:val="003F04A5"/>
    <w:rsid w:val="004053E5"/>
    <w:rsid w:val="00411947"/>
    <w:rsid w:val="0041575C"/>
    <w:rsid w:val="00415E5E"/>
    <w:rsid w:val="00432954"/>
    <w:rsid w:val="00435680"/>
    <w:rsid w:val="004401AA"/>
    <w:rsid w:val="00441A0B"/>
    <w:rsid w:val="00443715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A0E44"/>
    <w:rsid w:val="004A3810"/>
    <w:rsid w:val="004A391F"/>
    <w:rsid w:val="004B5667"/>
    <w:rsid w:val="004C17C1"/>
    <w:rsid w:val="004C2271"/>
    <w:rsid w:val="004C77D9"/>
    <w:rsid w:val="004D1507"/>
    <w:rsid w:val="004D1A6B"/>
    <w:rsid w:val="004D27B7"/>
    <w:rsid w:val="004E7AE6"/>
    <w:rsid w:val="004F3140"/>
    <w:rsid w:val="004F5CD5"/>
    <w:rsid w:val="005019F6"/>
    <w:rsid w:val="00510576"/>
    <w:rsid w:val="00511193"/>
    <w:rsid w:val="005137D1"/>
    <w:rsid w:val="0052077C"/>
    <w:rsid w:val="00526D10"/>
    <w:rsid w:val="005309C8"/>
    <w:rsid w:val="00531E13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51F1"/>
    <w:rsid w:val="005C2A61"/>
    <w:rsid w:val="005C317E"/>
    <w:rsid w:val="005C6331"/>
    <w:rsid w:val="005D0682"/>
    <w:rsid w:val="005D1E40"/>
    <w:rsid w:val="005D5F4D"/>
    <w:rsid w:val="005D6010"/>
    <w:rsid w:val="005D6096"/>
    <w:rsid w:val="005E7A32"/>
    <w:rsid w:val="005F28CE"/>
    <w:rsid w:val="005F3045"/>
    <w:rsid w:val="00600FA7"/>
    <w:rsid w:val="0061012B"/>
    <w:rsid w:val="00622B4E"/>
    <w:rsid w:val="00626B39"/>
    <w:rsid w:val="00647369"/>
    <w:rsid w:val="00653A74"/>
    <w:rsid w:val="006548AF"/>
    <w:rsid w:val="00655B6D"/>
    <w:rsid w:val="00656709"/>
    <w:rsid w:val="00663CFD"/>
    <w:rsid w:val="00685617"/>
    <w:rsid w:val="006928DE"/>
    <w:rsid w:val="00695C15"/>
    <w:rsid w:val="00696E22"/>
    <w:rsid w:val="006A2F62"/>
    <w:rsid w:val="006A54FA"/>
    <w:rsid w:val="006A7D9E"/>
    <w:rsid w:val="006B5839"/>
    <w:rsid w:val="006C2C22"/>
    <w:rsid w:val="006C306F"/>
    <w:rsid w:val="006C3B5D"/>
    <w:rsid w:val="006C5D01"/>
    <w:rsid w:val="006D3FFE"/>
    <w:rsid w:val="006D5FE2"/>
    <w:rsid w:val="006D6A1E"/>
    <w:rsid w:val="006E71F3"/>
    <w:rsid w:val="006F48B6"/>
    <w:rsid w:val="00707C91"/>
    <w:rsid w:val="0071179F"/>
    <w:rsid w:val="0071279B"/>
    <w:rsid w:val="00715FDD"/>
    <w:rsid w:val="00721FB1"/>
    <w:rsid w:val="00722104"/>
    <w:rsid w:val="00732957"/>
    <w:rsid w:val="00743676"/>
    <w:rsid w:val="00743FFD"/>
    <w:rsid w:val="00750A3E"/>
    <w:rsid w:val="00750CB9"/>
    <w:rsid w:val="00760BF7"/>
    <w:rsid w:val="00785109"/>
    <w:rsid w:val="007918ED"/>
    <w:rsid w:val="007977DF"/>
    <w:rsid w:val="007A3624"/>
    <w:rsid w:val="007B178E"/>
    <w:rsid w:val="007C14BE"/>
    <w:rsid w:val="007C5374"/>
    <w:rsid w:val="007C6355"/>
    <w:rsid w:val="007D781F"/>
    <w:rsid w:val="007E0BE4"/>
    <w:rsid w:val="007E49C3"/>
    <w:rsid w:val="007E4A14"/>
    <w:rsid w:val="007F5352"/>
    <w:rsid w:val="007F5CA1"/>
    <w:rsid w:val="007F735B"/>
    <w:rsid w:val="00804F55"/>
    <w:rsid w:val="00806A75"/>
    <w:rsid w:val="008150F6"/>
    <w:rsid w:val="00824B9D"/>
    <w:rsid w:val="00832840"/>
    <w:rsid w:val="008407F1"/>
    <w:rsid w:val="00843945"/>
    <w:rsid w:val="008510ED"/>
    <w:rsid w:val="008565E2"/>
    <w:rsid w:val="008752BD"/>
    <w:rsid w:val="00883CB7"/>
    <w:rsid w:val="00887234"/>
    <w:rsid w:val="00893114"/>
    <w:rsid w:val="00895896"/>
    <w:rsid w:val="008A5083"/>
    <w:rsid w:val="008A5357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21D7"/>
    <w:rsid w:val="0092264C"/>
    <w:rsid w:val="00941E72"/>
    <w:rsid w:val="009455D9"/>
    <w:rsid w:val="009677FD"/>
    <w:rsid w:val="00967F08"/>
    <w:rsid w:val="009725E7"/>
    <w:rsid w:val="00982CAF"/>
    <w:rsid w:val="00983ADE"/>
    <w:rsid w:val="00985FCB"/>
    <w:rsid w:val="00992336"/>
    <w:rsid w:val="009938A0"/>
    <w:rsid w:val="00996E3A"/>
    <w:rsid w:val="009A5ED4"/>
    <w:rsid w:val="009A6B6C"/>
    <w:rsid w:val="009A6EB8"/>
    <w:rsid w:val="009B0F19"/>
    <w:rsid w:val="009B7E1F"/>
    <w:rsid w:val="009C33A8"/>
    <w:rsid w:val="009C7AA4"/>
    <w:rsid w:val="009D1EC7"/>
    <w:rsid w:val="009D6024"/>
    <w:rsid w:val="009E259B"/>
    <w:rsid w:val="009E4FD9"/>
    <w:rsid w:val="009F0FAF"/>
    <w:rsid w:val="009F3EE7"/>
    <w:rsid w:val="00A115A8"/>
    <w:rsid w:val="00A36EF8"/>
    <w:rsid w:val="00A41D44"/>
    <w:rsid w:val="00A4541D"/>
    <w:rsid w:val="00A55E42"/>
    <w:rsid w:val="00A579C4"/>
    <w:rsid w:val="00A65443"/>
    <w:rsid w:val="00A66974"/>
    <w:rsid w:val="00A67729"/>
    <w:rsid w:val="00A7133D"/>
    <w:rsid w:val="00A73BA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FCF"/>
    <w:rsid w:val="00AC7773"/>
    <w:rsid w:val="00AD46CB"/>
    <w:rsid w:val="00AD712D"/>
    <w:rsid w:val="00AE1652"/>
    <w:rsid w:val="00AE3974"/>
    <w:rsid w:val="00AF04AA"/>
    <w:rsid w:val="00AF4083"/>
    <w:rsid w:val="00B0005F"/>
    <w:rsid w:val="00B130C4"/>
    <w:rsid w:val="00B14B69"/>
    <w:rsid w:val="00B15811"/>
    <w:rsid w:val="00B201B2"/>
    <w:rsid w:val="00B26F30"/>
    <w:rsid w:val="00B30F9B"/>
    <w:rsid w:val="00B43E2B"/>
    <w:rsid w:val="00B47C91"/>
    <w:rsid w:val="00B50A58"/>
    <w:rsid w:val="00B52210"/>
    <w:rsid w:val="00B6059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B441F"/>
    <w:rsid w:val="00BB532D"/>
    <w:rsid w:val="00BB55B4"/>
    <w:rsid w:val="00BD3C29"/>
    <w:rsid w:val="00BD47DA"/>
    <w:rsid w:val="00BD646A"/>
    <w:rsid w:val="00BD6C91"/>
    <w:rsid w:val="00BE6C76"/>
    <w:rsid w:val="00BF47A7"/>
    <w:rsid w:val="00BF757E"/>
    <w:rsid w:val="00BF7DEB"/>
    <w:rsid w:val="00C00F09"/>
    <w:rsid w:val="00C0388C"/>
    <w:rsid w:val="00C15057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A5051"/>
    <w:rsid w:val="00CA6686"/>
    <w:rsid w:val="00CB5C16"/>
    <w:rsid w:val="00CC1122"/>
    <w:rsid w:val="00CC4D9F"/>
    <w:rsid w:val="00CD6214"/>
    <w:rsid w:val="00CD7553"/>
    <w:rsid w:val="00CF2367"/>
    <w:rsid w:val="00CF27D4"/>
    <w:rsid w:val="00CF588E"/>
    <w:rsid w:val="00D176C0"/>
    <w:rsid w:val="00D26113"/>
    <w:rsid w:val="00D339D6"/>
    <w:rsid w:val="00D364AA"/>
    <w:rsid w:val="00D4023C"/>
    <w:rsid w:val="00D40733"/>
    <w:rsid w:val="00D514E4"/>
    <w:rsid w:val="00D52D32"/>
    <w:rsid w:val="00D534C7"/>
    <w:rsid w:val="00D62462"/>
    <w:rsid w:val="00D67FAC"/>
    <w:rsid w:val="00D713A7"/>
    <w:rsid w:val="00D8185B"/>
    <w:rsid w:val="00D94B77"/>
    <w:rsid w:val="00DA302C"/>
    <w:rsid w:val="00DA3158"/>
    <w:rsid w:val="00DA386C"/>
    <w:rsid w:val="00DB054C"/>
    <w:rsid w:val="00DB1A8C"/>
    <w:rsid w:val="00DC1880"/>
    <w:rsid w:val="00DC3A03"/>
    <w:rsid w:val="00DC4666"/>
    <w:rsid w:val="00DD13D6"/>
    <w:rsid w:val="00DD6252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6E8B"/>
    <w:rsid w:val="00E8123B"/>
    <w:rsid w:val="00E84F0E"/>
    <w:rsid w:val="00E97C66"/>
    <w:rsid w:val="00EB0AA6"/>
    <w:rsid w:val="00EB7897"/>
    <w:rsid w:val="00EB7A52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22AD4"/>
    <w:rsid w:val="00F268A0"/>
    <w:rsid w:val="00F30640"/>
    <w:rsid w:val="00F336B5"/>
    <w:rsid w:val="00F33812"/>
    <w:rsid w:val="00F4225E"/>
    <w:rsid w:val="00F6270A"/>
    <w:rsid w:val="00F73427"/>
    <w:rsid w:val="00F84168"/>
    <w:rsid w:val="00F86961"/>
    <w:rsid w:val="00F878B2"/>
    <w:rsid w:val="00F93C69"/>
    <w:rsid w:val="00FA024A"/>
    <w:rsid w:val="00FB3675"/>
    <w:rsid w:val="00FB6439"/>
    <w:rsid w:val="00FC37F2"/>
    <w:rsid w:val="00FC54E6"/>
    <w:rsid w:val="00FD0140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83549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eru-vydal-metodiku-cenove-regulace-pro-obdobi-2026-203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eru.gov.cz/navrh-cenoveho-vymeru-plynarenstv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u.gov.cz/navrhy-cenovych-vymeru-pro-elektroenergetiku-s-ucinnosti-od-1-ledna-202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3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AB2E0-99F1-46FF-80DA-9212B21E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0</TotalTime>
  <Pages>1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2</cp:revision>
  <cp:lastPrinted>2025-10-30T08:49:00Z</cp:lastPrinted>
  <dcterms:created xsi:type="dcterms:W3CDTF">2025-10-30T11:30:00Z</dcterms:created>
  <dcterms:modified xsi:type="dcterms:W3CDTF">2025-10-30T11:30:00Z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