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D6ED1" w14:textId="77777777" w:rsidR="00B84FE2" w:rsidRPr="00B84FE2" w:rsidRDefault="00B13D08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 w:rsidRPr="00B13D08">
        <w:rPr>
          <w:sz w:val="28"/>
          <w:szCs w:val="28"/>
        </w:rPr>
        <w:t>ERÚ</w:t>
      </w:r>
      <w:r w:rsidR="00891320">
        <w:rPr>
          <w:sz w:val="28"/>
          <w:szCs w:val="28"/>
        </w:rPr>
        <w:t xml:space="preserve"> vydal nové cenové výměry. V teplárenství</w:t>
      </w:r>
      <w:r w:rsidRPr="00B13D08">
        <w:rPr>
          <w:sz w:val="28"/>
          <w:szCs w:val="28"/>
        </w:rPr>
        <w:t xml:space="preserve"> </w:t>
      </w:r>
      <w:r w:rsidR="00D24743">
        <w:rPr>
          <w:sz w:val="28"/>
          <w:szCs w:val="28"/>
        </w:rPr>
        <w:t xml:space="preserve">dodavatele </w:t>
      </w:r>
      <w:r w:rsidRPr="00B13D08">
        <w:rPr>
          <w:sz w:val="28"/>
          <w:szCs w:val="28"/>
        </w:rPr>
        <w:t xml:space="preserve">motivuje k využívání nových a moderních technologií  </w:t>
      </w:r>
    </w:p>
    <w:p w14:paraId="2031377F" w14:textId="70BD3CBA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zpráva,</w:t>
      </w:r>
      <w:r w:rsidR="00D634E5">
        <w:rPr>
          <w:lang w:eastAsia="en-US"/>
        </w:rPr>
        <w:t xml:space="preserve"> 30.9</w:t>
      </w:r>
      <w:r>
        <w:rPr>
          <w:lang w:eastAsia="en-US"/>
        </w:rPr>
        <w:t>.202</w:t>
      </w:r>
      <w:r w:rsidR="00E6084E">
        <w:rPr>
          <w:lang w:eastAsia="en-US"/>
        </w:rPr>
        <w:t>5</w:t>
      </w:r>
    </w:p>
    <w:p w14:paraId="1B2AC85F" w14:textId="5E10EEB1" w:rsidR="00891320" w:rsidRDefault="00B13D08" w:rsidP="00B13D08">
      <w:pPr>
        <w:jc w:val="both"/>
        <w:rPr>
          <w:b/>
          <w:i/>
        </w:rPr>
      </w:pPr>
      <w:r>
        <w:rPr>
          <w:b/>
          <w:i/>
        </w:rPr>
        <w:t xml:space="preserve">Energetický regulační úřad (ERÚ) </w:t>
      </w:r>
      <w:r w:rsidR="00891320">
        <w:rPr>
          <w:b/>
          <w:i/>
        </w:rPr>
        <w:t xml:space="preserve">vydal nové cenové výměry </w:t>
      </w:r>
      <w:r w:rsidR="00E84F30">
        <w:rPr>
          <w:b/>
          <w:i/>
        </w:rPr>
        <w:t>s</w:t>
      </w:r>
      <w:r w:rsidR="009D5E18">
        <w:rPr>
          <w:b/>
          <w:i/>
        </w:rPr>
        <w:t xml:space="preserve"> účinností</w:t>
      </w:r>
      <w:r w:rsidR="00E84F30">
        <w:rPr>
          <w:b/>
          <w:i/>
        </w:rPr>
        <w:t xml:space="preserve"> od roku 2026</w:t>
      </w:r>
      <w:r w:rsidR="00891320">
        <w:rPr>
          <w:b/>
          <w:i/>
        </w:rPr>
        <w:t xml:space="preserve">. V teplárenství podporuje kromě investic do soustav a moderních technologií také vznik nových soustav, využívání dotací, přechod na </w:t>
      </w:r>
      <w:proofErr w:type="spellStart"/>
      <w:r w:rsidR="00891320">
        <w:rPr>
          <w:b/>
          <w:i/>
        </w:rPr>
        <w:t>nízkoemisní</w:t>
      </w:r>
      <w:proofErr w:type="spellEnd"/>
      <w:r w:rsidR="00891320">
        <w:rPr>
          <w:b/>
          <w:i/>
        </w:rPr>
        <w:t xml:space="preserve"> paliva či možnost přizpůsobit ceny tepla odběratelům.</w:t>
      </w:r>
      <w:r w:rsidR="00D634E5">
        <w:rPr>
          <w:b/>
          <w:i/>
        </w:rPr>
        <w:t xml:space="preserve"> </w:t>
      </w:r>
      <w:r w:rsidR="0068185E">
        <w:rPr>
          <w:b/>
          <w:i/>
        </w:rPr>
        <w:t xml:space="preserve">Dalšími cenovými výměry </w:t>
      </w:r>
      <w:r w:rsidR="00E84F30">
        <w:rPr>
          <w:b/>
          <w:i/>
        </w:rPr>
        <w:t xml:space="preserve">stanovuje podporu pro </w:t>
      </w:r>
      <w:r w:rsidR="00D634E5">
        <w:rPr>
          <w:b/>
          <w:i/>
        </w:rPr>
        <w:t>podporované zdroje energie (</w:t>
      </w:r>
      <w:r w:rsidR="0068185E">
        <w:rPr>
          <w:b/>
          <w:i/>
        </w:rPr>
        <w:t>POZE</w:t>
      </w:r>
      <w:r w:rsidR="00D634E5">
        <w:rPr>
          <w:b/>
          <w:i/>
        </w:rPr>
        <w:t>)</w:t>
      </w:r>
      <w:r w:rsidR="0068185E">
        <w:rPr>
          <w:b/>
          <w:i/>
        </w:rPr>
        <w:t xml:space="preserve">, </w:t>
      </w:r>
      <w:r w:rsidR="00E84F30">
        <w:rPr>
          <w:b/>
          <w:i/>
        </w:rPr>
        <w:t xml:space="preserve">cenu za činnost povinně vykupujícího a ceny spojené se zárukami původu. </w:t>
      </w:r>
    </w:p>
    <w:p w14:paraId="5355B80E" w14:textId="77777777" w:rsidR="00E84F30" w:rsidRPr="00E84F30" w:rsidRDefault="00E84F30" w:rsidP="00B13D08">
      <w:pPr>
        <w:jc w:val="both"/>
        <w:rPr>
          <w:b/>
        </w:rPr>
      </w:pPr>
      <w:r w:rsidRPr="00E84F30">
        <w:rPr>
          <w:b/>
        </w:rPr>
        <w:t xml:space="preserve">Teplárenství </w:t>
      </w:r>
    </w:p>
    <w:p w14:paraId="1A82DF3C" w14:textId="5EA15AD1" w:rsidR="00D61D42" w:rsidRDefault="00E84F30" w:rsidP="00D61D42">
      <w:pPr>
        <w:jc w:val="both"/>
      </w:pPr>
      <w:r>
        <w:t xml:space="preserve">Ceny tepelné energie ze soustav centrálního zásobování jsou regulované na základě věcného usměrnění. Neobsahují tedy složku regulovanou a neregulovanou, jak je tomu u plynu a elektřiny, ale dodavatelé celkovou cenu za vytápění a dodávku teplé vody kalkulují podle pravidel daných příslušným cenovým výměrem ERÚ. </w:t>
      </w:r>
      <w:hyperlink r:id="rId13" w:history="1">
        <w:r w:rsidR="00D61D42" w:rsidRPr="00E01BAC">
          <w:rPr>
            <w:rStyle w:val="Hypertextovodkaz"/>
          </w:rPr>
          <w:t>Te</w:t>
        </w:r>
        <w:r w:rsidR="00D61D42" w:rsidRPr="00E01BAC">
          <w:rPr>
            <w:rStyle w:val="Hypertextovodkaz"/>
          </w:rPr>
          <w:t>n</w:t>
        </w:r>
      </w:hyperlink>
      <w:r w:rsidR="00D61D42">
        <w:t xml:space="preserve"> nyní prochází hned několika změnami. </w:t>
      </w:r>
    </w:p>
    <w:p w14:paraId="29BAB4B9" w14:textId="2B606D9A" w:rsidR="00B13D08" w:rsidRDefault="00B13D08" w:rsidP="00B13D08">
      <w:pPr>
        <w:jc w:val="both"/>
      </w:pPr>
      <w:r w:rsidRPr="00F10DD5">
        <w:rPr>
          <w:i/>
        </w:rPr>
        <w:t>„</w:t>
      </w:r>
      <w:r w:rsidR="00F73FAD">
        <w:rPr>
          <w:i/>
        </w:rPr>
        <w:t xml:space="preserve">Novým cenovým výměrem </w:t>
      </w:r>
      <w:r w:rsidRPr="00F10DD5">
        <w:rPr>
          <w:i/>
        </w:rPr>
        <w:t>dodavatele ještě více motivujeme k</w:t>
      </w:r>
      <w:r>
        <w:rPr>
          <w:i/>
        </w:rPr>
        <w:t> </w:t>
      </w:r>
      <w:r w:rsidRPr="00F10DD5">
        <w:rPr>
          <w:i/>
        </w:rPr>
        <w:t>investicím</w:t>
      </w:r>
      <w:r>
        <w:rPr>
          <w:i/>
        </w:rPr>
        <w:t>,</w:t>
      </w:r>
      <w:r w:rsidRPr="00F10DD5">
        <w:rPr>
          <w:i/>
        </w:rPr>
        <w:t xml:space="preserve"> které jsou nezbytné pro přechod na </w:t>
      </w:r>
      <w:proofErr w:type="spellStart"/>
      <w:r w:rsidRPr="00F10DD5">
        <w:rPr>
          <w:i/>
        </w:rPr>
        <w:t>nízkoemisní</w:t>
      </w:r>
      <w:proofErr w:type="spellEnd"/>
      <w:r w:rsidRPr="00F10DD5">
        <w:rPr>
          <w:i/>
        </w:rPr>
        <w:t xml:space="preserve"> paliva a celkovou modernizaci teplárenských soustav</w:t>
      </w:r>
      <w:r w:rsidR="00D634E5">
        <w:rPr>
          <w:i/>
        </w:rPr>
        <w:t>,</w:t>
      </w:r>
      <w:r w:rsidR="0068185E">
        <w:rPr>
          <w:i/>
        </w:rPr>
        <w:t xml:space="preserve"> včetně většího zapojení</w:t>
      </w:r>
      <w:r w:rsidRPr="00F10DD5">
        <w:rPr>
          <w:i/>
        </w:rPr>
        <w:t xml:space="preserve"> </w:t>
      </w:r>
      <w:r>
        <w:rPr>
          <w:i/>
        </w:rPr>
        <w:t>dotací</w:t>
      </w:r>
      <w:r w:rsidRPr="00F10DD5">
        <w:rPr>
          <w:i/>
        </w:rPr>
        <w:t xml:space="preserve">. Zároveň dáváme dodavatelům možnost </w:t>
      </w:r>
      <w:r w:rsidR="00F73FAD">
        <w:rPr>
          <w:i/>
        </w:rPr>
        <w:t>lépe přizpůsobit</w:t>
      </w:r>
      <w:r w:rsidRPr="00F10DD5">
        <w:rPr>
          <w:i/>
        </w:rPr>
        <w:t xml:space="preserve"> cenovou politiku </w:t>
      </w:r>
      <w:r w:rsidR="00F73FAD">
        <w:rPr>
          <w:i/>
        </w:rPr>
        <w:t>představám</w:t>
      </w:r>
      <w:r w:rsidR="00F73FAD" w:rsidRPr="00F10DD5">
        <w:rPr>
          <w:i/>
        </w:rPr>
        <w:t xml:space="preserve"> </w:t>
      </w:r>
      <w:r w:rsidRPr="00F10DD5">
        <w:rPr>
          <w:i/>
        </w:rPr>
        <w:t>odběratelů,“</w:t>
      </w:r>
      <w:r>
        <w:t xml:space="preserve"> shrnuje </w:t>
      </w:r>
      <w:r w:rsidRPr="00F10DD5">
        <w:rPr>
          <w:b/>
        </w:rPr>
        <w:t>Jan Šefránek, předseda ERÚ</w:t>
      </w:r>
      <w:r>
        <w:t xml:space="preserve">. </w:t>
      </w:r>
      <w:r w:rsidR="00F73FAD">
        <w:t>A dodává</w:t>
      </w:r>
      <w:r w:rsidR="00D634E5">
        <w:t>:</w:t>
      </w:r>
      <w:r w:rsidR="00F73FAD">
        <w:t xml:space="preserve"> </w:t>
      </w:r>
      <w:r w:rsidRPr="00F10DD5">
        <w:rPr>
          <w:i/>
        </w:rPr>
        <w:t xml:space="preserve">„Pokračujeme </w:t>
      </w:r>
      <w:r w:rsidR="00F73FAD">
        <w:rPr>
          <w:i/>
        </w:rPr>
        <w:t xml:space="preserve">tak </w:t>
      </w:r>
      <w:r>
        <w:rPr>
          <w:i/>
        </w:rPr>
        <w:t xml:space="preserve">ve </w:t>
      </w:r>
      <w:r w:rsidRPr="00F10DD5">
        <w:rPr>
          <w:i/>
        </w:rPr>
        <w:t>směr</w:t>
      </w:r>
      <w:r>
        <w:rPr>
          <w:i/>
        </w:rPr>
        <w:t>u</w:t>
      </w:r>
      <w:r w:rsidRPr="00F10DD5">
        <w:rPr>
          <w:i/>
        </w:rPr>
        <w:t>, který nastavila už v roce 2022 naše nová koncepce regulace teplárenství</w:t>
      </w:r>
      <w:r w:rsidR="00F73FAD">
        <w:rPr>
          <w:i/>
        </w:rPr>
        <w:t>, její</w:t>
      </w:r>
      <w:r w:rsidR="00D634E5">
        <w:rPr>
          <w:i/>
        </w:rPr>
        <w:t>m</w:t>
      </w:r>
      <w:r w:rsidR="00F73FAD">
        <w:rPr>
          <w:i/>
        </w:rPr>
        <w:t xml:space="preserve">ž cílem je </w:t>
      </w:r>
      <w:r w:rsidR="0068185E">
        <w:rPr>
          <w:i/>
        </w:rPr>
        <w:t>přiblížit</w:t>
      </w:r>
      <w:r w:rsidR="00F73FAD">
        <w:rPr>
          <w:i/>
        </w:rPr>
        <w:t xml:space="preserve"> regulaci měnícímu se prostředí v celé energetice</w:t>
      </w:r>
      <w:r w:rsidR="00D634E5">
        <w:rPr>
          <w:i/>
        </w:rPr>
        <w:t>.</w:t>
      </w:r>
      <w:r w:rsidRPr="00F10DD5">
        <w:rPr>
          <w:i/>
        </w:rPr>
        <w:t>“</w:t>
      </w:r>
      <w:r w:rsidR="00D61D42">
        <w:rPr>
          <w:i/>
        </w:rPr>
        <w:t xml:space="preserve"> </w:t>
      </w:r>
      <w:r>
        <w:t xml:space="preserve"> </w:t>
      </w:r>
    </w:p>
    <w:p w14:paraId="7AB3F253" w14:textId="77777777" w:rsidR="00B13D08" w:rsidRDefault="00B13D08" w:rsidP="00B13D08">
      <w:pPr>
        <w:jc w:val="both"/>
      </w:pPr>
      <w:r>
        <w:t xml:space="preserve">Dodavatelé budou moci od nadcházejícího roku promítnout do ceny tepelné energie odpisy i s odloženou účinností, a to pro soustavy zásobování tepelnou energií, které nově vznikají nebo se podstatně rozšiřují. To je bude jednak více motivovat k samotným investicím, jednak jim to dá větší volnost v tvorbě cenové politiky </w:t>
      </w:r>
      <w:r w:rsidRPr="00633440">
        <w:t xml:space="preserve">– </w:t>
      </w:r>
      <w:r>
        <w:t>a možnost přizpůsobit ji odběratelům. V praxi to mimo jiné znamená, že dopad investic do cen</w:t>
      </w:r>
      <w:r w:rsidR="00176D4C">
        <w:t xml:space="preserve"> může být</w:t>
      </w:r>
      <w:r>
        <w:t xml:space="preserve"> pro odběratele pozvolnější. Při využívání dotačních programů bude ERÚ dodavatelům přiznávat bezrizikovou míru výnosnosti na hodnotu dotace.  </w:t>
      </w:r>
    </w:p>
    <w:p w14:paraId="6464412D" w14:textId="77777777" w:rsidR="00B13D08" w:rsidRDefault="00B13D08" w:rsidP="00B13D08">
      <w:pPr>
        <w:jc w:val="both"/>
      </w:pPr>
      <w:r w:rsidRPr="00117F43">
        <w:rPr>
          <w:i/>
        </w:rPr>
        <w:t>„</w:t>
      </w:r>
      <w:r w:rsidR="005E0287">
        <w:rPr>
          <w:i/>
        </w:rPr>
        <w:t>Dlouhodobě v</w:t>
      </w:r>
      <w:r w:rsidRPr="00117F43">
        <w:rPr>
          <w:i/>
        </w:rPr>
        <w:t>nímáme rovněž požadavky odběratelů, kteří mají jiné možnosti zajištění tepelné energie a nová odběrná místa stavěná jako nízkoenergetická mají jiné nároky na parametry dodávky než stávající. Velkým tématem</w:t>
      </w:r>
      <w:r>
        <w:rPr>
          <w:i/>
        </w:rPr>
        <w:t xml:space="preserve"> je</w:t>
      </w:r>
      <w:r w:rsidRPr="00117F43">
        <w:rPr>
          <w:i/>
        </w:rPr>
        <w:t>, aby teplo využívali co nejefektivněji. Také k tomu směřuje vytváření proinvestičního prostředí s odpovídající a transparentní cenovou politikou,“</w:t>
      </w:r>
      <w:r>
        <w:t xml:space="preserve"> říká </w:t>
      </w:r>
      <w:r w:rsidRPr="00117F43">
        <w:rPr>
          <w:b/>
        </w:rPr>
        <w:t>Sylva Hondlová, vedoucí oddělení regulace teplárenství na ERÚ.</w:t>
      </w:r>
      <w:r>
        <w:t xml:space="preserve"> </w:t>
      </w:r>
    </w:p>
    <w:p w14:paraId="75255242" w14:textId="77777777" w:rsidR="00B13D08" w:rsidRDefault="00B13D08" w:rsidP="00596E2C">
      <w:pPr>
        <w:jc w:val="both"/>
      </w:pPr>
      <w:r>
        <w:t>Regulátor dodavatele rovněž</w:t>
      </w:r>
      <w:r w:rsidR="00596E2C">
        <w:t xml:space="preserve"> motivuje</w:t>
      </w:r>
      <w:r w:rsidR="00C0217E">
        <w:t xml:space="preserve"> k poskytování záporných služeb výkonové rovnováhy, které pomáhají vyrovnávat soustavu, </w:t>
      </w:r>
      <w:r w:rsidR="0040590A">
        <w:t>nebo</w:t>
      </w:r>
      <w:r w:rsidR="00596E2C">
        <w:t xml:space="preserve"> k</w:t>
      </w:r>
      <w:r>
        <w:t xml:space="preserve"> využívání tepla, jež vznikne jako vedlejší produkt například z průmyslové činnosti</w:t>
      </w:r>
      <w:r w:rsidR="00C0217E">
        <w:t xml:space="preserve">. </w:t>
      </w:r>
      <w:r w:rsidR="00596E2C">
        <w:t xml:space="preserve">Bezemisní výroba tepla je </w:t>
      </w:r>
      <w:r w:rsidR="00C0217E">
        <w:t xml:space="preserve">přitom </w:t>
      </w:r>
      <w:r w:rsidR="00596E2C">
        <w:t>jedním z kritérií tzv. účinné soustavy, na kterou</w:t>
      </w:r>
      <w:r w:rsidR="00344FB4">
        <w:t xml:space="preserve"> se</w:t>
      </w:r>
      <w:r w:rsidR="0040590A">
        <w:t>, v souladu s novelou zákona o POZE, budou</w:t>
      </w:r>
      <w:r w:rsidR="00596E2C">
        <w:t xml:space="preserve"> od roku 2028 postupně kl</w:t>
      </w:r>
      <w:r w:rsidR="0040590A">
        <w:t>ást</w:t>
      </w:r>
      <w:r w:rsidR="00596E2C">
        <w:t xml:space="preserve"> vyšší nároky</w:t>
      </w:r>
      <w:r w:rsidR="0040590A">
        <w:t xml:space="preserve">. </w:t>
      </w:r>
      <w:r w:rsidR="00596E2C">
        <w:t>Od roku 2050 pak už bude účinnou soustavou pouze ta</w:t>
      </w:r>
      <w:r w:rsidR="002C0633">
        <w:t>,</w:t>
      </w:r>
      <w:r w:rsidR="00596E2C">
        <w:t xml:space="preserve"> která bude dodávat teplo z odpadního tepla (tedy tepla z jiné činnosti) nebo z OZE. </w:t>
      </w:r>
      <w:bookmarkStart w:id="0" w:name="_GoBack"/>
      <w:bookmarkEnd w:id="0"/>
    </w:p>
    <w:p w14:paraId="33D191EF" w14:textId="77777777" w:rsidR="00D61D42" w:rsidRPr="00D61D42" w:rsidRDefault="00D61D42" w:rsidP="00596E2C">
      <w:pPr>
        <w:jc w:val="both"/>
        <w:rPr>
          <w:b/>
        </w:rPr>
      </w:pPr>
      <w:r w:rsidRPr="00D61D42">
        <w:rPr>
          <w:b/>
        </w:rPr>
        <w:t>POZE</w:t>
      </w:r>
    </w:p>
    <w:p w14:paraId="09D83D4B" w14:textId="71B9851E" w:rsidR="00D61D42" w:rsidRDefault="00D61D42" w:rsidP="00596E2C">
      <w:pPr>
        <w:jc w:val="both"/>
      </w:pPr>
      <w:r>
        <w:t xml:space="preserve">Zatímco v minulosti byla podpora pro POZE stanovená jediným cenovým </w:t>
      </w:r>
      <w:r w:rsidR="00B323FE">
        <w:t>rozhodnutím</w:t>
      </w:r>
      <w:r>
        <w:t xml:space="preserve">, </w:t>
      </w:r>
      <w:r w:rsidR="00B323FE">
        <w:t xml:space="preserve">pro nadcházející rok </w:t>
      </w:r>
      <w:r>
        <w:t xml:space="preserve">přichází změna v podobě čtyř samostatných cenových výměrů: </w:t>
      </w:r>
      <w:hyperlink r:id="rId14" w:history="1">
        <w:r w:rsidR="00B323FE" w:rsidRPr="00E01BAC">
          <w:rPr>
            <w:rStyle w:val="Hypertextovodkaz"/>
          </w:rPr>
          <w:t>pro nepalivové zdroje</w:t>
        </w:r>
      </w:hyperlink>
      <w:r w:rsidR="00B323FE">
        <w:t xml:space="preserve"> (</w:t>
      </w:r>
      <w:proofErr w:type="spellStart"/>
      <w:r w:rsidR="00B323FE">
        <w:t>fotovoltaické</w:t>
      </w:r>
      <w:proofErr w:type="spellEnd"/>
      <w:r w:rsidR="00B323FE">
        <w:t xml:space="preserve">, malé vodní a větrné elektrárny), </w:t>
      </w:r>
      <w:hyperlink r:id="rId15" w:history="1">
        <w:r w:rsidR="00B323FE" w:rsidRPr="00E01BAC">
          <w:rPr>
            <w:rStyle w:val="Hypertextovodkaz"/>
          </w:rPr>
          <w:t xml:space="preserve">pro bioplyn a </w:t>
        </w:r>
        <w:proofErr w:type="spellStart"/>
        <w:r w:rsidR="00B323FE" w:rsidRPr="00E01BAC">
          <w:rPr>
            <w:rStyle w:val="Hypertextovodkaz"/>
          </w:rPr>
          <w:t>biometan</w:t>
        </w:r>
        <w:proofErr w:type="spellEnd"/>
        <w:r w:rsidR="00B323FE" w:rsidRPr="00E01BAC">
          <w:rPr>
            <w:rStyle w:val="Hypertextovodkaz"/>
          </w:rPr>
          <w:t xml:space="preserve"> včetně skládkových a kalových plynů</w:t>
        </w:r>
      </w:hyperlink>
      <w:r w:rsidR="00B323FE">
        <w:t xml:space="preserve">, </w:t>
      </w:r>
      <w:hyperlink r:id="rId16" w:history="1">
        <w:r w:rsidR="00B323FE" w:rsidRPr="00E01BAC">
          <w:rPr>
            <w:rStyle w:val="Hypertextovodkaz"/>
          </w:rPr>
          <w:t>pro biomasu</w:t>
        </w:r>
      </w:hyperlink>
      <w:r w:rsidR="00B323FE">
        <w:t xml:space="preserve"> a </w:t>
      </w:r>
      <w:hyperlink r:id="rId17" w:history="1">
        <w:r w:rsidR="00B323FE" w:rsidRPr="00E01BAC">
          <w:rPr>
            <w:rStyle w:val="Hypertextovodkaz"/>
          </w:rPr>
          <w:t>pro kombinovanou výrobu elektřiny a tepla (KVET) a druhotné zdroje</w:t>
        </w:r>
      </w:hyperlink>
      <w:r w:rsidR="00B323FE">
        <w:t xml:space="preserve">. </w:t>
      </w:r>
    </w:p>
    <w:p w14:paraId="47B413F4" w14:textId="77777777" w:rsidR="00B323FE" w:rsidRDefault="00B323FE" w:rsidP="00596E2C">
      <w:pPr>
        <w:jc w:val="both"/>
      </w:pPr>
    </w:p>
    <w:p w14:paraId="626E49D6" w14:textId="2D596644" w:rsidR="00B323FE" w:rsidRPr="006823C1" w:rsidRDefault="00B323FE" w:rsidP="00596E2C">
      <w:pPr>
        <w:jc w:val="both"/>
        <w:rPr>
          <w:b/>
        </w:rPr>
      </w:pPr>
      <w:r w:rsidRPr="006823C1">
        <w:rPr>
          <w:i/>
        </w:rPr>
        <w:lastRenderedPageBreak/>
        <w:t>„K rozdělení cenových výměrů jsme přistoupili především proto, abychom celý systém pro příjemce provozních podpor zpřehlednili. Úprava zároveň respektuje odlišné zákonné principy pro stanovení jednotlivých podpo</w:t>
      </w:r>
      <w:r w:rsidR="00A15CB6">
        <w:rPr>
          <w:i/>
        </w:rPr>
        <w:t>r</w:t>
      </w:r>
      <w:r w:rsidR="00C6370C">
        <w:rPr>
          <w:i/>
        </w:rPr>
        <w:t xml:space="preserve"> a lépe kopíruje </w:t>
      </w:r>
      <w:r w:rsidR="00F73FAD">
        <w:rPr>
          <w:i/>
        </w:rPr>
        <w:t xml:space="preserve">schválená </w:t>
      </w:r>
      <w:r w:rsidR="00C6370C">
        <w:rPr>
          <w:i/>
        </w:rPr>
        <w:t xml:space="preserve">schémata podpory </w:t>
      </w:r>
      <w:r w:rsidR="006823C1" w:rsidRPr="006823C1">
        <w:rPr>
          <w:i/>
        </w:rPr>
        <w:t>u Evropské komise</w:t>
      </w:r>
      <w:r w:rsidR="00C6370C">
        <w:rPr>
          <w:i/>
        </w:rPr>
        <w:t xml:space="preserve"> v tzv.</w:t>
      </w:r>
      <w:r w:rsidR="006823C1" w:rsidRPr="006823C1">
        <w:rPr>
          <w:i/>
        </w:rPr>
        <w:t xml:space="preserve"> notifikačním řízení,“</w:t>
      </w:r>
      <w:r w:rsidR="006823C1">
        <w:t xml:space="preserve"> vysvětluje </w:t>
      </w:r>
      <w:r w:rsidR="006823C1" w:rsidRPr="006823C1">
        <w:rPr>
          <w:b/>
        </w:rPr>
        <w:t xml:space="preserve">Kristián </w:t>
      </w:r>
      <w:proofErr w:type="spellStart"/>
      <w:r w:rsidR="006823C1" w:rsidRPr="006823C1">
        <w:rPr>
          <w:b/>
        </w:rPr>
        <w:t>Titka</w:t>
      </w:r>
      <w:proofErr w:type="spellEnd"/>
      <w:r w:rsidR="006823C1" w:rsidRPr="006823C1">
        <w:rPr>
          <w:b/>
        </w:rPr>
        <w:t xml:space="preserve">, ředitel odboru POZE na ERÚ. </w:t>
      </w:r>
    </w:p>
    <w:p w14:paraId="3C137A8C" w14:textId="355B8B42" w:rsidR="00C91760" w:rsidRDefault="00542BD8" w:rsidP="005859EA">
      <w:pPr>
        <w:widowControl w:val="0"/>
        <w:jc w:val="both"/>
        <w:rPr>
          <w:rFonts w:cstheme="minorHAnsi"/>
        </w:rPr>
      </w:pPr>
      <w:r>
        <w:rPr>
          <w:rFonts w:cstheme="minorHAnsi"/>
        </w:rPr>
        <w:t>Pro nové výrobny jsou podpory stanovené v souladu s</w:t>
      </w:r>
      <w:r w:rsidR="00B53765">
        <w:rPr>
          <w:rFonts w:cstheme="minorHAnsi"/>
        </w:rPr>
        <w:t xml:space="preserve"> aktivačním nařízením vlády, u těch stávajících pak ERÚ uplatňuje </w:t>
      </w:r>
      <w:r w:rsidR="00C6370C">
        <w:rPr>
          <w:rFonts w:cstheme="minorHAnsi"/>
        </w:rPr>
        <w:t xml:space="preserve">v souladu se zákonem </w:t>
      </w:r>
      <w:r w:rsidR="00B53765">
        <w:rPr>
          <w:rFonts w:cstheme="minorHAnsi"/>
        </w:rPr>
        <w:t xml:space="preserve">tzv. monitoring nákladů na pořízení paliva a cen elektřiny a tepla a jejich změn (za první pololetí roku 2025 </w:t>
      </w:r>
      <w:hyperlink r:id="rId18" w:history="1">
        <w:r w:rsidR="00B53765" w:rsidRPr="00B53765">
          <w:rPr>
            <w:rStyle w:val="Hypertextovodkaz"/>
            <w:rFonts w:cstheme="minorHAnsi"/>
          </w:rPr>
          <w:t>zde</w:t>
        </w:r>
      </w:hyperlink>
      <w:r w:rsidR="00B53765">
        <w:rPr>
          <w:rFonts w:cstheme="minorHAnsi"/>
        </w:rPr>
        <w:t>). Výrobnám z OZE, které byly uvedené do provozu do 31.12.2005,</w:t>
      </w:r>
      <w:r w:rsidR="00B53765" w:rsidRPr="00B53765">
        <w:rPr>
          <w:rFonts w:cstheme="minorHAnsi"/>
        </w:rPr>
        <w:t xml:space="preserve"> výrobn</w:t>
      </w:r>
      <w:r w:rsidR="00B53765">
        <w:rPr>
          <w:rFonts w:cstheme="minorHAnsi"/>
        </w:rPr>
        <w:t>ám</w:t>
      </w:r>
      <w:r w:rsidR="00B53765" w:rsidRPr="00B53765">
        <w:rPr>
          <w:rFonts w:cstheme="minorHAnsi"/>
        </w:rPr>
        <w:t xml:space="preserve"> využívající</w:t>
      </w:r>
      <w:r w:rsidR="00B53765">
        <w:rPr>
          <w:rFonts w:cstheme="minorHAnsi"/>
        </w:rPr>
        <w:t>m</w:t>
      </w:r>
      <w:r w:rsidR="00B53765" w:rsidRPr="00B53765">
        <w:rPr>
          <w:rFonts w:cstheme="minorHAnsi"/>
        </w:rPr>
        <w:t xml:space="preserve"> kombinovanou výrobu elektřiny a tepla s instalovaný</w:t>
      </w:r>
      <w:r w:rsidR="00D634E5">
        <w:rPr>
          <w:rFonts w:cstheme="minorHAnsi"/>
        </w:rPr>
        <w:t>m</w:t>
      </w:r>
      <w:r w:rsidR="00B53765" w:rsidRPr="00B53765">
        <w:rPr>
          <w:rFonts w:cstheme="minorHAnsi"/>
        </w:rPr>
        <w:t xml:space="preserve"> výkonem do 5 MW a výrobn</w:t>
      </w:r>
      <w:r w:rsidR="00B53765">
        <w:rPr>
          <w:rFonts w:cstheme="minorHAnsi"/>
        </w:rPr>
        <w:t>ám</w:t>
      </w:r>
      <w:r w:rsidR="00B53765" w:rsidRPr="00B53765">
        <w:rPr>
          <w:rFonts w:cstheme="minorHAnsi"/>
        </w:rPr>
        <w:t xml:space="preserve"> využívající</w:t>
      </w:r>
      <w:r w:rsidR="00B53765">
        <w:rPr>
          <w:rFonts w:cstheme="minorHAnsi"/>
        </w:rPr>
        <w:t>m</w:t>
      </w:r>
      <w:r w:rsidR="00B53765" w:rsidRPr="00B53765">
        <w:rPr>
          <w:rFonts w:cstheme="minorHAnsi"/>
        </w:rPr>
        <w:t xml:space="preserve"> druhotné zdroje energie </w:t>
      </w:r>
      <w:r w:rsidR="00A15CB6">
        <w:rPr>
          <w:rFonts w:cstheme="minorHAnsi"/>
        </w:rPr>
        <w:t xml:space="preserve">uvedeným </w:t>
      </w:r>
      <w:r w:rsidR="00B53765" w:rsidRPr="00B53765">
        <w:rPr>
          <w:rFonts w:cstheme="minorHAnsi"/>
        </w:rPr>
        <w:t>do provozu do 31.12.2012</w:t>
      </w:r>
      <w:r w:rsidR="00B53765">
        <w:rPr>
          <w:rFonts w:cstheme="minorHAnsi"/>
        </w:rPr>
        <w:t xml:space="preserve"> </w:t>
      </w:r>
      <w:r w:rsidR="00A15CB6">
        <w:rPr>
          <w:rFonts w:cstheme="minorHAnsi"/>
        </w:rPr>
        <w:t>bude v roce 2026 podpora</w:t>
      </w:r>
      <w:r w:rsidR="00C6370C">
        <w:rPr>
          <w:rFonts w:cstheme="minorHAnsi"/>
        </w:rPr>
        <w:t xml:space="preserve"> ukončena</w:t>
      </w:r>
      <w:r w:rsidR="00A15CB6">
        <w:rPr>
          <w:rFonts w:cstheme="minorHAnsi"/>
        </w:rPr>
        <w:t xml:space="preserve"> (dle přechodných ustanovení zákona o POZE). </w:t>
      </w:r>
      <w:r w:rsidR="00A15CB6">
        <w:t>S podporou také končí výrobny, kterým vypršela vyhláškou stanovená doba životnosti.</w:t>
      </w:r>
      <w:r w:rsidR="00A15CB6">
        <w:rPr>
          <w:rFonts w:cstheme="minorHAnsi"/>
        </w:rPr>
        <w:t xml:space="preserve"> </w:t>
      </w:r>
    </w:p>
    <w:p w14:paraId="0DF5F653" w14:textId="7BFBD652" w:rsidR="00A15CB6" w:rsidRDefault="00A15CB6" w:rsidP="005859EA">
      <w:pPr>
        <w:widowControl w:val="0"/>
        <w:jc w:val="both"/>
      </w:pPr>
      <w:r>
        <w:rPr>
          <w:rFonts w:cstheme="minorHAnsi"/>
        </w:rPr>
        <w:t xml:space="preserve">Poslední cenový výměr se pak týká </w:t>
      </w:r>
      <w:hyperlink r:id="rId19" w:history="1">
        <w:r w:rsidRPr="00E01BAC">
          <w:rPr>
            <w:rStyle w:val="Hypertextovodkaz"/>
          </w:rPr>
          <w:t>ceny za činnost povinně vykupujícího a cen spojených se zárukami původu</w:t>
        </w:r>
      </w:hyperlink>
      <w:r>
        <w:t>. Do cen za činnost povinně vykupujícího pro příští rok výrazně promlouvá korekční faktor</w:t>
      </w:r>
      <w:r w:rsidR="007B2F92">
        <w:t xml:space="preserve">, který vyrovnává rozdíly mezi skutečnými a předpokládanými náklady </w:t>
      </w:r>
      <w:r w:rsidR="00CD4761">
        <w:t xml:space="preserve">za </w:t>
      </w:r>
      <w:r w:rsidR="00A25964">
        <w:t>ro</w:t>
      </w:r>
      <w:r w:rsidR="00CD4761">
        <w:t>k</w:t>
      </w:r>
      <w:r w:rsidR="00A25964">
        <w:t xml:space="preserve"> 2024</w:t>
      </w:r>
      <w:r w:rsidR="007B2F92">
        <w:t>. Zejména</w:t>
      </w:r>
      <w:r w:rsidR="001951DF">
        <w:t xml:space="preserve"> z</w:t>
      </w:r>
      <w:r w:rsidR="007A5B6D">
        <w:t> </w:t>
      </w:r>
      <w:r w:rsidR="001951DF">
        <w:t>důvodů</w:t>
      </w:r>
      <w:r w:rsidR="007A5B6D">
        <w:t xml:space="preserve"> obtížné predikce nákladů na odchylku i množství elektřiny podporované formou výkupních cen </w:t>
      </w:r>
      <w:r w:rsidR="00BE02BF">
        <w:t xml:space="preserve">se </w:t>
      </w:r>
      <w:r w:rsidR="00BE02BF" w:rsidRPr="00BE02BF">
        <w:t>skutečné náklady na odchylky</w:t>
      </w:r>
      <w:r w:rsidR="00D24743">
        <w:t xml:space="preserve"> </w:t>
      </w:r>
      <w:r w:rsidR="007A5B6D">
        <w:t>i množství elektřiny podporované formou výkupních cen</w:t>
      </w:r>
      <w:r w:rsidR="00871CFD">
        <w:t xml:space="preserve"> za</w:t>
      </w:r>
      <w:r w:rsidR="00D24743">
        <w:t> ro</w:t>
      </w:r>
      <w:r w:rsidR="00871CFD">
        <w:t>k</w:t>
      </w:r>
      <w:r w:rsidR="00D24743">
        <w:t xml:space="preserve"> 2024</w:t>
      </w:r>
      <w:r w:rsidR="00BE02BF" w:rsidRPr="00BE02BF">
        <w:t xml:space="preserve"> </w:t>
      </w:r>
      <w:r w:rsidR="00BE02BF">
        <w:t xml:space="preserve">výrazně lišily </w:t>
      </w:r>
      <w:r w:rsidR="00BE02BF" w:rsidRPr="00BE02BF">
        <w:t>od původně plánovaných hodnot</w:t>
      </w:r>
      <w:r w:rsidR="00BE02BF">
        <w:t>. P</w:t>
      </w:r>
      <w:r w:rsidR="00BE02BF" w:rsidRPr="00BE02BF">
        <w:t xml:space="preserve">ro rok 2026 </w:t>
      </w:r>
      <w:r w:rsidR="00BE02BF">
        <w:t xml:space="preserve">se proto u dvou povinně vykupujících obchodníků </w:t>
      </w:r>
      <w:r w:rsidR="00BE02BF" w:rsidRPr="00BE02BF">
        <w:t>snižuje</w:t>
      </w:r>
      <w:r w:rsidR="00BE02BF">
        <w:t xml:space="preserve"> cena za jejich činnost</w:t>
      </w:r>
      <w:r w:rsidR="00BE02BF" w:rsidRPr="00BE02BF">
        <w:t xml:space="preserve"> </w:t>
      </w:r>
      <w:r w:rsidR="005510A9">
        <w:t xml:space="preserve">až </w:t>
      </w:r>
      <w:r w:rsidR="00BE02BF" w:rsidRPr="00BE02BF">
        <w:t>do záporných hodnot. U třetího</w:t>
      </w:r>
      <w:r w:rsidR="00BE02BF">
        <w:t xml:space="preserve"> </w:t>
      </w:r>
      <w:r w:rsidR="00C6370C">
        <w:t xml:space="preserve">(nejmenšího z pohledu vykupovaného množství) </w:t>
      </w:r>
      <w:r w:rsidR="00BE02BF">
        <w:t>dochází naopak k významnému navýšení</w:t>
      </w:r>
      <w:r w:rsidR="00BE02BF" w:rsidRPr="00BE02BF">
        <w:t xml:space="preserve"> ceny</w:t>
      </w:r>
      <w:r w:rsidR="00BE02BF">
        <w:t xml:space="preserve">. </w:t>
      </w:r>
    </w:p>
    <w:p w14:paraId="2FF7817B" w14:textId="1BCCF36E" w:rsidR="00BE02BF" w:rsidRPr="00BE02BF" w:rsidRDefault="00BE02BF" w:rsidP="005859EA">
      <w:pPr>
        <w:widowControl w:val="0"/>
        <w:jc w:val="both"/>
      </w:pPr>
      <w:r>
        <w:t>S</w:t>
      </w:r>
      <w:r w:rsidRPr="00BE02BF">
        <w:t>truktura cen spojených se zárukami původu energie</w:t>
      </w:r>
      <w:r>
        <w:t xml:space="preserve"> byla </w:t>
      </w:r>
      <w:r w:rsidR="000C6303">
        <w:t xml:space="preserve">v průběhu letošního roku </w:t>
      </w:r>
      <w:r>
        <w:t>upravena</w:t>
      </w:r>
      <w:r w:rsidR="000C6303">
        <w:t xml:space="preserve"> energetickým zákonem</w:t>
      </w:r>
      <w:r>
        <w:t>, ERÚ</w:t>
      </w:r>
      <w:r w:rsidR="000C6303">
        <w:t xml:space="preserve"> tak již pro rok 2026</w:t>
      </w:r>
      <w:r>
        <w:t xml:space="preserve"> </w:t>
      </w:r>
      <w:r w:rsidRPr="00BE02BF">
        <w:t>nestanovuje „tržní“ ceny záruk původu</w:t>
      </w:r>
      <w:r w:rsidR="000C6303">
        <w:t>. Ty</w:t>
      </w:r>
      <w:r w:rsidRPr="00BE02BF">
        <w:t xml:space="preserve"> budou vznikat v</w:t>
      </w:r>
      <w:r w:rsidR="000C6303">
        <w:t> </w:t>
      </w:r>
      <w:r w:rsidRPr="00BE02BF">
        <w:t>aukcíc</w:t>
      </w:r>
      <w:r w:rsidR="000C6303">
        <w:t xml:space="preserve">h </w:t>
      </w:r>
      <w:r w:rsidR="00C6370C">
        <w:t xml:space="preserve">záruk původu organizovaných operátorem trhu </w:t>
      </w:r>
      <w:r w:rsidR="000C6303">
        <w:t>a v</w:t>
      </w:r>
      <w:r w:rsidRPr="00BE02BF">
        <w:t xml:space="preserve">ýnosy </w:t>
      </w:r>
      <w:r w:rsidR="008567D0">
        <w:t xml:space="preserve">z </w:t>
      </w:r>
      <w:r w:rsidR="000C6303">
        <w:t xml:space="preserve">nich </w:t>
      </w:r>
      <w:r w:rsidRPr="00BE02BF">
        <w:t xml:space="preserve">budou sloužit k úhradě nákladů na provozní podporu </w:t>
      </w:r>
      <w:r w:rsidR="000C6303">
        <w:t xml:space="preserve">POZE. </w:t>
      </w:r>
    </w:p>
    <w:sectPr w:rsidR="00BE02BF" w:rsidRPr="00BE02BF" w:rsidSect="00B84FE2">
      <w:headerReference w:type="default" r:id="rId20"/>
      <w:footerReference w:type="default" r:id="rId21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43F9" w14:textId="77777777" w:rsidR="003E5B80" w:rsidRDefault="003E5B80" w:rsidP="006928DE">
      <w:pPr>
        <w:spacing w:after="0" w:line="240" w:lineRule="auto"/>
      </w:pPr>
      <w:r>
        <w:separator/>
      </w:r>
    </w:p>
    <w:p w14:paraId="555C753B" w14:textId="77777777" w:rsidR="003E5B80" w:rsidRDefault="003E5B80"/>
  </w:endnote>
  <w:endnote w:type="continuationSeparator" w:id="0">
    <w:p w14:paraId="40569526" w14:textId="77777777" w:rsidR="003E5B80" w:rsidRDefault="003E5B80" w:rsidP="006928DE">
      <w:pPr>
        <w:spacing w:after="0" w:line="240" w:lineRule="auto"/>
      </w:pPr>
      <w:r>
        <w:continuationSeparator/>
      </w:r>
    </w:p>
    <w:p w14:paraId="54A4B170" w14:textId="77777777" w:rsidR="003E5B80" w:rsidRDefault="003E5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60D8F6FF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07C8A88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19232D43" wp14:editId="758C32E9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37F6CFB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128C471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A8F6D5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5B62300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25F69332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7E8883E7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6392B0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6A33A96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5AF64DF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361A31D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39D38C4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7F799E5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7BC136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0541E97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CA6E60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63A021E3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3B99C0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2A33AF2" w14:textId="77777777" w:rsidR="00B84FE2" w:rsidRPr="003F04A5" w:rsidRDefault="003E5B80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4B19023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9761F6C" w14:textId="77777777" w:rsidR="00B84FE2" w:rsidRPr="003F04A5" w:rsidRDefault="003E5B80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1FA54946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1140EF6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32C6E5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5A922DD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4F46A7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3E96059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22F8C77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D07F8B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75DC727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251F589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1C61A4A3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4B6A2B" w:rsidRPr="003F04A5" w14:paraId="24AB9593" w14:textId="77777777" w:rsidTr="007637D4">
      <w:trPr>
        <w:cantSplit/>
        <w:trHeight w:hRule="exact" w:val="238"/>
      </w:trPr>
      <w:tc>
        <w:tcPr>
          <w:tcW w:w="707" w:type="pct"/>
          <w:vMerge w:val="restart"/>
        </w:tcPr>
        <w:p w14:paraId="2C3E5404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1E8A111A" wp14:editId="31BEE10C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6E29FAE3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5B8AC3B5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7582F0A9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3B57718A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4B6A2B" w:rsidRPr="003F04A5" w14:paraId="53A1E5CC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6595E518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282A881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29872E16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41FFD7EF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0F0BD2C7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4B6A2B" w:rsidRPr="003F04A5" w14:paraId="011A909F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04F9A438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81DBB67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7AB4E10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1DE8829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4B6A2B" w:rsidRPr="003F04A5" w14:paraId="50F09BA7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732AE3D3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F72FB1B" w14:textId="77777777" w:rsidR="004B6A2B" w:rsidRPr="003F04A5" w:rsidRDefault="003E5B80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4B6A2B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09181DF1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D4165F0" w14:textId="77777777" w:rsidR="004B6A2B" w:rsidRPr="003F04A5" w:rsidRDefault="003E5B80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4B6A2B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4B6A2B" w:rsidRPr="003F04A5" w14:paraId="528492BA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39902C10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AF725D8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2673CCFA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38B4FE3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4B6A2B" w:rsidRPr="003F04A5" w14:paraId="0D66B971" w14:textId="77777777" w:rsidTr="007637D4">
      <w:trPr>
        <w:cantSplit/>
        <w:trHeight w:hRule="exact" w:val="238"/>
      </w:trPr>
      <w:tc>
        <w:tcPr>
          <w:tcW w:w="707" w:type="pct"/>
          <w:vMerge/>
        </w:tcPr>
        <w:p w14:paraId="42FDCC8D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D9D150B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2E3CF5FA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3B54D63" w14:textId="77777777" w:rsidR="004B6A2B" w:rsidRPr="003F04A5" w:rsidRDefault="004B6A2B" w:rsidP="004B6A2B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38E4DBE0" w14:textId="77777777" w:rsidR="00B84FE2" w:rsidRDefault="00B84FE2" w:rsidP="00B84FE2">
    <w:pPr>
      <w:pStyle w:val="Zpat"/>
    </w:pPr>
  </w:p>
  <w:p w14:paraId="3ED3E037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92644" w14:textId="77777777" w:rsidR="003E5B80" w:rsidRDefault="003E5B80" w:rsidP="006928DE">
      <w:pPr>
        <w:spacing w:after="0" w:line="240" w:lineRule="auto"/>
      </w:pPr>
      <w:r>
        <w:separator/>
      </w:r>
    </w:p>
    <w:p w14:paraId="676DBD1E" w14:textId="77777777" w:rsidR="003E5B80" w:rsidRDefault="003E5B80"/>
  </w:footnote>
  <w:footnote w:type="continuationSeparator" w:id="0">
    <w:p w14:paraId="41FBCD07" w14:textId="77777777" w:rsidR="003E5B80" w:rsidRDefault="003E5B80" w:rsidP="006928DE">
      <w:pPr>
        <w:spacing w:after="0" w:line="240" w:lineRule="auto"/>
      </w:pPr>
      <w:r>
        <w:continuationSeparator/>
      </w:r>
    </w:p>
    <w:p w14:paraId="73F5642D" w14:textId="77777777" w:rsidR="003E5B80" w:rsidRDefault="003E5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B1FB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02B06052" wp14:editId="436BC9A2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61DA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pt;height:6pt" o:bullet="t">
        <v:imagedata r:id="rId1" o:title="Datový zdroj 256"/>
      </v:shape>
    </w:pict>
  </w:numPicBullet>
  <w:abstractNum w:abstractNumId="0" w15:restartNumberingAfterBreak="0">
    <w:nsid w:val="0D2A4381"/>
    <w:multiLevelType w:val="hybridMultilevel"/>
    <w:tmpl w:val="5942AA94"/>
    <w:lvl w:ilvl="0" w:tplc="023406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2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4" w15:restartNumberingAfterBreak="0">
    <w:nsid w:val="4B1E03B6"/>
    <w:multiLevelType w:val="hybridMultilevel"/>
    <w:tmpl w:val="591E4812"/>
    <w:lvl w:ilvl="0" w:tplc="BACA587E">
      <w:start w:val="6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25C8"/>
    <w:rsid w:val="00004664"/>
    <w:rsid w:val="0001107C"/>
    <w:rsid w:val="00011983"/>
    <w:rsid w:val="00012AD9"/>
    <w:rsid w:val="0001541E"/>
    <w:rsid w:val="000218CC"/>
    <w:rsid w:val="0002339C"/>
    <w:rsid w:val="000315FF"/>
    <w:rsid w:val="000331BF"/>
    <w:rsid w:val="00045824"/>
    <w:rsid w:val="00047AC2"/>
    <w:rsid w:val="000508BF"/>
    <w:rsid w:val="00051C07"/>
    <w:rsid w:val="00051C7F"/>
    <w:rsid w:val="000571CB"/>
    <w:rsid w:val="00061037"/>
    <w:rsid w:val="00061FFD"/>
    <w:rsid w:val="0006423F"/>
    <w:rsid w:val="000650B6"/>
    <w:rsid w:val="00071182"/>
    <w:rsid w:val="00072105"/>
    <w:rsid w:val="00075E41"/>
    <w:rsid w:val="0008017F"/>
    <w:rsid w:val="0008406D"/>
    <w:rsid w:val="00085D46"/>
    <w:rsid w:val="00087A8B"/>
    <w:rsid w:val="000A084F"/>
    <w:rsid w:val="000B1CDC"/>
    <w:rsid w:val="000B552E"/>
    <w:rsid w:val="000C173C"/>
    <w:rsid w:val="000C616C"/>
    <w:rsid w:val="000C6303"/>
    <w:rsid w:val="000C7882"/>
    <w:rsid w:val="000D6B86"/>
    <w:rsid w:val="000E3943"/>
    <w:rsid w:val="000E4ADC"/>
    <w:rsid w:val="000F5202"/>
    <w:rsid w:val="000F75D7"/>
    <w:rsid w:val="000F7C3A"/>
    <w:rsid w:val="00100B9F"/>
    <w:rsid w:val="001031B7"/>
    <w:rsid w:val="0010416A"/>
    <w:rsid w:val="00104721"/>
    <w:rsid w:val="00107692"/>
    <w:rsid w:val="00111118"/>
    <w:rsid w:val="0011469C"/>
    <w:rsid w:val="00114B4B"/>
    <w:rsid w:val="001164A2"/>
    <w:rsid w:val="001211F8"/>
    <w:rsid w:val="00122FE1"/>
    <w:rsid w:val="001335DD"/>
    <w:rsid w:val="001336B6"/>
    <w:rsid w:val="00133CCE"/>
    <w:rsid w:val="00134245"/>
    <w:rsid w:val="00134803"/>
    <w:rsid w:val="00135878"/>
    <w:rsid w:val="00136F3D"/>
    <w:rsid w:val="00140EFC"/>
    <w:rsid w:val="00142183"/>
    <w:rsid w:val="00142C99"/>
    <w:rsid w:val="00145076"/>
    <w:rsid w:val="00145122"/>
    <w:rsid w:val="00145D59"/>
    <w:rsid w:val="00145FAB"/>
    <w:rsid w:val="001543AC"/>
    <w:rsid w:val="0015635A"/>
    <w:rsid w:val="00166498"/>
    <w:rsid w:val="00166789"/>
    <w:rsid w:val="001732A2"/>
    <w:rsid w:val="00176D4C"/>
    <w:rsid w:val="00177350"/>
    <w:rsid w:val="0018545A"/>
    <w:rsid w:val="0018757B"/>
    <w:rsid w:val="00192873"/>
    <w:rsid w:val="00193AA8"/>
    <w:rsid w:val="001951DF"/>
    <w:rsid w:val="001973B6"/>
    <w:rsid w:val="001976B6"/>
    <w:rsid w:val="001A518B"/>
    <w:rsid w:val="001B0634"/>
    <w:rsid w:val="001B0E86"/>
    <w:rsid w:val="001B2626"/>
    <w:rsid w:val="001B5017"/>
    <w:rsid w:val="001B5B5F"/>
    <w:rsid w:val="001C2B90"/>
    <w:rsid w:val="001C2BE8"/>
    <w:rsid w:val="001C592E"/>
    <w:rsid w:val="001C6B94"/>
    <w:rsid w:val="001D056A"/>
    <w:rsid w:val="001D568D"/>
    <w:rsid w:val="001E0ABD"/>
    <w:rsid w:val="001F51D6"/>
    <w:rsid w:val="00205AEB"/>
    <w:rsid w:val="002204EA"/>
    <w:rsid w:val="00225848"/>
    <w:rsid w:val="00225DEF"/>
    <w:rsid w:val="00226D87"/>
    <w:rsid w:val="00227765"/>
    <w:rsid w:val="00227966"/>
    <w:rsid w:val="00232B14"/>
    <w:rsid w:val="00236FDA"/>
    <w:rsid w:val="00237988"/>
    <w:rsid w:val="00241E0D"/>
    <w:rsid w:val="00242552"/>
    <w:rsid w:val="002431F5"/>
    <w:rsid w:val="0024794B"/>
    <w:rsid w:val="0025041F"/>
    <w:rsid w:val="0025253A"/>
    <w:rsid w:val="002573E8"/>
    <w:rsid w:val="00257C8F"/>
    <w:rsid w:val="00261550"/>
    <w:rsid w:val="002622B5"/>
    <w:rsid w:val="00266242"/>
    <w:rsid w:val="0027040D"/>
    <w:rsid w:val="0027149D"/>
    <w:rsid w:val="00274446"/>
    <w:rsid w:val="00277802"/>
    <w:rsid w:val="0028118D"/>
    <w:rsid w:val="00283E9E"/>
    <w:rsid w:val="00284A7B"/>
    <w:rsid w:val="00285DA6"/>
    <w:rsid w:val="00286E08"/>
    <w:rsid w:val="002919C1"/>
    <w:rsid w:val="0029689D"/>
    <w:rsid w:val="002B064F"/>
    <w:rsid w:val="002B2694"/>
    <w:rsid w:val="002B351D"/>
    <w:rsid w:val="002B671C"/>
    <w:rsid w:val="002B682A"/>
    <w:rsid w:val="002B753C"/>
    <w:rsid w:val="002C0633"/>
    <w:rsid w:val="002C2B3E"/>
    <w:rsid w:val="002C42C1"/>
    <w:rsid w:val="002C64DB"/>
    <w:rsid w:val="002D0AB8"/>
    <w:rsid w:val="002E403C"/>
    <w:rsid w:val="002F245E"/>
    <w:rsid w:val="00301528"/>
    <w:rsid w:val="00304201"/>
    <w:rsid w:val="00306CA4"/>
    <w:rsid w:val="0030742A"/>
    <w:rsid w:val="0031602A"/>
    <w:rsid w:val="00322418"/>
    <w:rsid w:val="00323EDA"/>
    <w:rsid w:val="00330C4D"/>
    <w:rsid w:val="00332C3A"/>
    <w:rsid w:val="00334280"/>
    <w:rsid w:val="0033462F"/>
    <w:rsid w:val="00344FB4"/>
    <w:rsid w:val="00350655"/>
    <w:rsid w:val="003521BD"/>
    <w:rsid w:val="0035244C"/>
    <w:rsid w:val="00352DFA"/>
    <w:rsid w:val="0035531E"/>
    <w:rsid w:val="00355AB0"/>
    <w:rsid w:val="003615D5"/>
    <w:rsid w:val="00371634"/>
    <w:rsid w:val="00373FE6"/>
    <w:rsid w:val="003822B9"/>
    <w:rsid w:val="00391010"/>
    <w:rsid w:val="0039125C"/>
    <w:rsid w:val="00393A43"/>
    <w:rsid w:val="003940A8"/>
    <w:rsid w:val="0039410F"/>
    <w:rsid w:val="00396549"/>
    <w:rsid w:val="003976BB"/>
    <w:rsid w:val="003A1688"/>
    <w:rsid w:val="003A2308"/>
    <w:rsid w:val="003A7B1D"/>
    <w:rsid w:val="003B79F6"/>
    <w:rsid w:val="003C1370"/>
    <w:rsid w:val="003C52E3"/>
    <w:rsid w:val="003C59C1"/>
    <w:rsid w:val="003C6A0E"/>
    <w:rsid w:val="003C7DB0"/>
    <w:rsid w:val="003D123E"/>
    <w:rsid w:val="003D2ABB"/>
    <w:rsid w:val="003D4FB1"/>
    <w:rsid w:val="003D68A7"/>
    <w:rsid w:val="003D7C88"/>
    <w:rsid w:val="003E2C66"/>
    <w:rsid w:val="003E5378"/>
    <w:rsid w:val="003E5B80"/>
    <w:rsid w:val="003E7C01"/>
    <w:rsid w:val="003F00F7"/>
    <w:rsid w:val="003F04A5"/>
    <w:rsid w:val="004053E5"/>
    <w:rsid w:val="004054A2"/>
    <w:rsid w:val="0040590A"/>
    <w:rsid w:val="00405DD1"/>
    <w:rsid w:val="00411947"/>
    <w:rsid w:val="0041575C"/>
    <w:rsid w:val="00415E5E"/>
    <w:rsid w:val="00426E6F"/>
    <w:rsid w:val="00432954"/>
    <w:rsid w:val="00441A0B"/>
    <w:rsid w:val="00454C04"/>
    <w:rsid w:val="00457F78"/>
    <w:rsid w:val="004658D5"/>
    <w:rsid w:val="004736D9"/>
    <w:rsid w:val="00476642"/>
    <w:rsid w:val="00483BAC"/>
    <w:rsid w:val="00485AE9"/>
    <w:rsid w:val="00490B54"/>
    <w:rsid w:val="00494F8B"/>
    <w:rsid w:val="004B3F5D"/>
    <w:rsid w:val="004B4D49"/>
    <w:rsid w:val="004B5667"/>
    <w:rsid w:val="004B6A2B"/>
    <w:rsid w:val="004C17C1"/>
    <w:rsid w:val="004C2271"/>
    <w:rsid w:val="004C5CD8"/>
    <w:rsid w:val="004D07CE"/>
    <w:rsid w:val="004D1A6B"/>
    <w:rsid w:val="004D27B7"/>
    <w:rsid w:val="004D2C82"/>
    <w:rsid w:val="004D503E"/>
    <w:rsid w:val="004E7AE6"/>
    <w:rsid w:val="004F285B"/>
    <w:rsid w:val="004F3140"/>
    <w:rsid w:val="004F5CD5"/>
    <w:rsid w:val="004F5E3C"/>
    <w:rsid w:val="004F6D70"/>
    <w:rsid w:val="005019F6"/>
    <w:rsid w:val="00502CF9"/>
    <w:rsid w:val="0050643B"/>
    <w:rsid w:val="00507C35"/>
    <w:rsid w:val="00510576"/>
    <w:rsid w:val="005137D1"/>
    <w:rsid w:val="00520044"/>
    <w:rsid w:val="0052077C"/>
    <w:rsid w:val="00526D10"/>
    <w:rsid w:val="005309C8"/>
    <w:rsid w:val="005316FE"/>
    <w:rsid w:val="00531E13"/>
    <w:rsid w:val="0053447C"/>
    <w:rsid w:val="005407BA"/>
    <w:rsid w:val="00542BD8"/>
    <w:rsid w:val="00547E31"/>
    <w:rsid w:val="005510A9"/>
    <w:rsid w:val="00551794"/>
    <w:rsid w:val="00552976"/>
    <w:rsid w:val="00555C48"/>
    <w:rsid w:val="00556AC6"/>
    <w:rsid w:val="005640BC"/>
    <w:rsid w:val="0057003F"/>
    <w:rsid w:val="00570E2C"/>
    <w:rsid w:val="00570EB7"/>
    <w:rsid w:val="005715D0"/>
    <w:rsid w:val="00573217"/>
    <w:rsid w:val="005806CD"/>
    <w:rsid w:val="005859EA"/>
    <w:rsid w:val="005874D8"/>
    <w:rsid w:val="00590035"/>
    <w:rsid w:val="00590B03"/>
    <w:rsid w:val="00591529"/>
    <w:rsid w:val="0059336A"/>
    <w:rsid w:val="00596E2C"/>
    <w:rsid w:val="005B10C2"/>
    <w:rsid w:val="005C4A4E"/>
    <w:rsid w:val="005C58EE"/>
    <w:rsid w:val="005D142A"/>
    <w:rsid w:val="005D5F4D"/>
    <w:rsid w:val="005D6010"/>
    <w:rsid w:val="005D6096"/>
    <w:rsid w:val="005E0287"/>
    <w:rsid w:val="005E0817"/>
    <w:rsid w:val="005E238A"/>
    <w:rsid w:val="005E7A32"/>
    <w:rsid w:val="005F0960"/>
    <w:rsid w:val="005F2E7D"/>
    <w:rsid w:val="005F4019"/>
    <w:rsid w:val="00600FA7"/>
    <w:rsid w:val="006014B4"/>
    <w:rsid w:val="00603A84"/>
    <w:rsid w:val="00604B4A"/>
    <w:rsid w:val="006060B6"/>
    <w:rsid w:val="0060627D"/>
    <w:rsid w:val="00613148"/>
    <w:rsid w:val="006153F3"/>
    <w:rsid w:val="00615CCA"/>
    <w:rsid w:val="00616772"/>
    <w:rsid w:val="00625ACB"/>
    <w:rsid w:val="00626B39"/>
    <w:rsid w:val="00645A0D"/>
    <w:rsid w:val="00650B51"/>
    <w:rsid w:val="00651591"/>
    <w:rsid w:val="00653A74"/>
    <w:rsid w:val="00655B6D"/>
    <w:rsid w:val="00680482"/>
    <w:rsid w:val="0068185E"/>
    <w:rsid w:val="006823C1"/>
    <w:rsid w:val="00685617"/>
    <w:rsid w:val="0068796A"/>
    <w:rsid w:val="00692033"/>
    <w:rsid w:val="006928DE"/>
    <w:rsid w:val="00693A6E"/>
    <w:rsid w:val="00695C15"/>
    <w:rsid w:val="006A0B61"/>
    <w:rsid w:val="006A2F62"/>
    <w:rsid w:val="006A54FA"/>
    <w:rsid w:val="006A7D9E"/>
    <w:rsid w:val="006B137B"/>
    <w:rsid w:val="006C1BCC"/>
    <w:rsid w:val="006C306F"/>
    <w:rsid w:val="006C5018"/>
    <w:rsid w:val="006C5D01"/>
    <w:rsid w:val="006C72BB"/>
    <w:rsid w:val="006D3FFE"/>
    <w:rsid w:val="006D5FE2"/>
    <w:rsid w:val="006D6A1E"/>
    <w:rsid w:val="006E71F3"/>
    <w:rsid w:val="006F1868"/>
    <w:rsid w:val="006F2BAD"/>
    <w:rsid w:val="006F2BCE"/>
    <w:rsid w:val="006F4D4C"/>
    <w:rsid w:val="006F6F41"/>
    <w:rsid w:val="00703C33"/>
    <w:rsid w:val="00705981"/>
    <w:rsid w:val="00707C91"/>
    <w:rsid w:val="00710A94"/>
    <w:rsid w:val="0071179F"/>
    <w:rsid w:val="007138B9"/>
    <w:rsid w:val="00720880"/>
    <w:rsid w:val="007208D7"/>
    <w:rsid w:val="00721FB1"/>
    <w:rsid w:val="00722104"/>
    <w:rsid w:val="007306E4"/>
    <w:rsid w:val="00731736"/>
    <w:rsid w:val="00732957"/>
    <w:rsid w:val="007424DF"/>
    <w:rsid w:val="00743676"/>
    <w:rsid w:val="00743FFD"/>
    <w:rsid w:val="00750A3E"/>
    <w:rsid w:val="00750CB9"/>
    <w:rsid w:val="00760BF7"/>
    <w:rsid w:val="007768E9"/>
    <w:rsid w:val="00782458"/>
    <w:rsid w:val="00782C08"/>
    <w:rsid w:val="00785109"/>
    <w:rsid w:val="007918ED"/>
    <w:rsid w:val="007A3624"/>
    <w:rsid w:val="007A5B6D"/>
    <w:rsid w:val="007A6284"/>
    <w:rsid w:val="007A6A8F"/>
    <w:rsid w:val="007B0193"/>
    <w:rsid w:val="007B178E"/>
    <w:rsid w:val="007B2F92"/>
    <w:rsid w:val="007C14BE"/>
    <w:rsid w:val="007C5374"/>
    <w:rsid w:val="007D0977"/>
    <w:rsid w:val="007D310D"/>
    <w:rsid w:val="007E0BE4"/>
    <w:rsid w:val="007E4380"/>
    <w:rsid w:val="007E49C3"/>
    <w:rsid w:val="007E4A14"/>
    <w:rsid w:val="007F48B3"/>
    <w:rsid w:val="007F5352"/>
    <w:rsid w:val="007F5CA1"/>
    <w:rsid w:val="007F6EA7"/>
    <w:rsid w:val="007F735B"/>
    <w:rsid w:val="00804F55"/>
    <w:rsid w:val="00806A75"/>
    <w:rsid w:val="0081134B"/>
    <w:rsid w:val="008150F6"/>
    <w:rsid w:val="00824B9D"/>
    <w:rsid w:val="008262E9"/>
    <w:rsid w:val="008367D6"/>
    <w:rsid w:val="008407F1"/>
    <w:rsid w:val="00843945"/>
    <w:rsid w:val="008565E2"/>
    <w:rsid w:val="008567D0"/>
    <w:rsid w:val="00871CFD"/>
    <w:rsid w:val="008752BD"/>
    <w:rsid w:val="0087698D"/>
    <w:rsid w:val="0088031A"/>
    <w:rsid w:val="00883CB7"/>
    <w:rsid w:val="00887020"/>
    <w:rsid w:val="00887234"/>
    <w:rsid w:val="00891320"/>
    <w:rsid w:val="00893114"/>
    <w:rsid w:val="008947D0"/>
    <w:rsid w:val="00897DD6"/>
    <w:rsid w:val="008A2F6F"/>
    <w:rsid w:val="008A4EE6"/>
    <w:rsid w:val="008A5083"/>
    <w:rsid w:val="008A5587"/>
    <w:rsid w:val="008B6B60"/>
    <w:rsid w:val="008B716F"/>
    <w:rsid w:val="008C72AD"/>
    <w:rsid w:val="008C7AD8"/>
    <w:rsid w:val="008D7399"/>
    <w:rsid w:val="008E1519"/>
    <w:rsid w:val="008E3B32"/>
    <w:rsid w:val="008E62D6"/>
    <w:rsid w:val="008F1BBF"/>
    <w:rsid w:val="00900430"/>
    <w:rsid w:val="00911805"/>
    <w:rsid w:val="00921AC9"/>
    <w:rsid w:val="009221D7"/>
    <w:rsid w:val="00927A04"/>
    <w:rsid w:val="00934290"/>
    <w:rsid w:val="0094008A"/>
    <w:rsid w:val="00941E72"/>
    <w:rsid w:val="00951B34"/>
    <w:rsid w:val="00952E71"/>
    <w:rsid w:val="00954452"/>
    <w:rsid w:val="0096064A"/>
    <w:rsid w:val="00966945"/>
    <w:rsid w:val="009677FD"/>
    <w:rsid w:val="00967F08"/>
    <w:rsid w:val="009721DE"/>
    <w:rsid w:val="009725E7"/>
    <w:rsid w:val="0097318F"/>
    <w:rsid w:val="00976DDC"/>
    <w:rsid w:val="00985FCB"/>
    <w:rsid w:val="009860AB"/>
    <w:rsid w:val="0098709F"/>
    <w:rsid w:val="00992336"/>
    <w:rsid w:val="00993DC3"/>
    <w:rsid w:val="00996E3A"/>
    <w:rsid w:val="00996EDD"/>
    <w:rsid w:val="00997BDA"/>
    <w:rsid w:val="009A0D4F"/>
    <w:rsid w:val="009A6B6C"/>
    <w:rsid w:val="009A6EB8"/>
    <w:rsid w:val="009A7290"/>
    <w:rsid w:val="009B7E1F"/>
    <w:rsid w:val="009C0B1F"/>
    <w:rsid w:val="009C2998"/>
    <w:rsid w:val="009C7AA4"/>
    <w:rsid w:val="009D2B07"/>
    <w:rsid w:val="009D5E18"/>
    <w:rsid w:val="009D7919"/>
    <w:rsid w:val="009D7BD4"/>
    <w:rsid w:val="009E259B"/>
    <w:rsid w:val="009E4FD9"/>
    <w:rsid w:val="009E680F"/>
    <w:rsid w:val="009F0FAF"/>
    <w:rsid w:val="009F25F5"/>
    <w:rsid w:val="009F3DF7"/>
    <w:rsid w:val="009F3EE7"/>
    <w:rsid w:val="009F6F06"/>
    <w:rsid w:val="009F7590"/>
    <w:rsid w:val="00A010C7"/>
    <w:rsid w:val="00A115A8"/>
    <w:rsid w:val="00A15CB6"/>
    <w:rsid w:val="00A162B5"/>
    <w:rsid w:val="00A25964"/>
    <w:rsid w:val="00A27793"/>
    <w:rsid w:val="00A30AE7"/>
    <w:rsid w:val="00A36EF8"/>
    <w:rsid w:val="00A40559"/>
    <w:rsid w:val="00A411B5"/>
    <w:rsid w:val="00A43674"/>
    <w:rsid w:val="00A5082B"/>
    <w:rsid w:val="00A518CA"/>
    <w:rsid w:val="00A55E42"/>
    <w:rsid w:val="00A572A8"/>
    <w:rsid w:val="00A65443"/>
    <w:rsid w:val="00A65E6B"/>
    <w:rsid w:val="00A66974"/>
    <w:rsid w:val="00A73BA0"/>
    <w:rsid w:val="00A82634"/>
    <w:rsid w:val="00A82E10"/>
    <w:rsid w:val="00A83983"/>
    <w:rsid w:val="00A83DC3"/>
    <w:rsid w:val="00A83E3E"/>
    <w:rsid w:val="00A90649"/>
    <w:rsid w:val="00A927BE"/>
    <w:rsid w:val="00A97F12"/>
    <w:rsid w:val="00AA27B3"/>
    <w:rsid w:val="00AA557B"/>
    <w:rsid w:val="00AB1251"/>
    <w:rsid w:val="00AB31DB"/>
    <w:rsid w:val="00AC7773"/>
    <w:rsid w:val="00AE1652"/>
    <w:rsid w:val="00AE2DAC"/>
    <w:rsid w:val="00AE48BA"/>
    <w:rsid w:val="00AE6AFB"/>
    <w:rsid w:val="00AF073E"/>
    <w:rsid w:val="00AF2B93"/>
    <w:rsid w:val="00AF3AE5"/>
    <w:rsid w:val="00AF4083"/>
    <w:rsid w:val="00B0005F"/>
    <w:rsid w:val="00B01490"/>
    <w:rsid w:val="00B03EEA"/>
    <w:rsid w:val="00B07842"/>
    <w:rsid w:val="00B1017C"/>
    <w:rsid w:val="00B10337"/>
    <w:rsid w:val="00B10D13"/>
    <w:rsid w:val="00B12805"/>
    <w:rsid w:val="00B130C4"/>
    <w:rsid w:val="00B13D08"/>
    <w:rsid w:val="00B14B69"/>
    <w:rsid w:val="00B15811"/>
    <w:rsid w:val="00B200DD"/>
    <w:rsid w:val="00B20242"/>
    <w:rsid w:val="00B30F9B"/>
    <w:rsid w:val="00B323FE"/>
    <w:rsid w:val="00B33FC7"/>
    <w:rsid w:val="00B353B2"/>
    <w:rsid w:val="00B423F4"/>
    <w:rsid w:val="00B43E2B"/>
    <w:rsid w:val="00B45EC4"/>
    <w:rsid w:val="00B4642D"/>
    <w:rsid w:val="00B46808"/>
    <w:rsid w:val="00B50411"/>
    <w:rsid w:val="00B52210"/>
    <w:rsid w:val="00B53765"/>
    <w:rsid w:val="00B552C5"/>
    <w:rsid w:val="00B60E4D"/>
    <w:rsid w:val="00B6786E"/>
    <w:rsid w:val="00B67FBD"/>
    <w:rsid w:val="00B716AD"/>
    <w:rsid w:val="00B72F6D"/>
    <w:rsid w:val="00B77963"/>
    <w:rsid w:val="00B8328C"/>
    <w:rsid w:val="00B84FE2"/>
    <w:rsid w:val="00B87185"/>
    <w:rsid w:val="00B87CD7"/>
    <w:rsid w:val="00B87F50"/>
    <w:rsid w:val="00BA1071"/>
    <w:rsid w:val="00BA322C"/>
    <w:rsid w:val="00BB1F3C"/>
    <w:rsid w:val="00BB3DE3"/>
    <w:rsid w:val="00BB532D"/>
    <w:rsid w:val="00BC78A7"/>
    <w:rsid w:val="00BD47DA"/>
    <w:rsid w:val="00BD646A"/>
    <w:rsid w:val="00BE02BF"/>
    <w:rsid w:val="00BE0E43"/>
    <w:rsid w:val="00BF757E"/>
    <w:rsid w:val="00BF7DEB"/>
    <w:rsid w:val="00C0217E"/>
    <w:rsid w:val="00C035F7"/>
    <w:rsid w:val="00C03ACE"/>
    <w:rsid w:val="00C0728A"/>
    <w:rsid w:val="00C1092A"/>
    <w:rsid w:val="00C1189A"/>
    <w:rsid w:val="00C15057"/>
    <w:rsid w:val="00C1737E"/>
    <w:rsid w:val="00C223D9"/>
    <w:rsid w:val="00C22ED6"/>
    <w:rsid w:val="00C2345E"/>
    <w:rsid w:val="00C25365"/>
    <w:rsid w:val="00C255DC"/>
    <w:rsid w:val="00C346AA"/>
    <w:rsid w:val="00C34956"/>
    <w:rsid w:val="00C40A7C"/>
    <w:rsid w:val="00C40DFC"/>
    <w:rsid w:val="00C42995"/>
    <w:rsid w:val="00C4433F"/>
    <w:rsid w:val="00C55B5D"/>
    <w:rsid w:val="00C604C6"/>
    <w:rsid w:val="00C6370C"/>
    <w:rsid w:val="00C64FB1"/>
    <w:rsid w:val="00C656B4"/>
    <w:rsid w:val="00C74E4A"/>
    <w:rsid w:val="00C76ADB"/>
    <w:rsid w:val="00C868AC"/>
    <w:rsid w:val="00C87074"/>
    <w:rsid w:val="00C91760"/>
    <w:rsid w:val="00C93600"/>
    <w:rsid w:val="00CA28D2"/>
    <w:rsid w:val="00CA301F"/>
    <w:rsid w:val="00CA5051"/>
    <w:rsid w:val="00CA6686"/>
    <w:rsid w:val="00CA7A70"/>
    <w:rsid w:val="00CA7FD9"/>
    <w:rsid w:val="00CB5C16"/>
    <w:rsid w:val="00CB5F58"/>
    <w:rsid w:val="00CC1122"/>
    <w:rsid w:val="00CC457F"/>
    <w:rsid w:val="00CC4D9F"/>
    <w:rsid w:val="00CD4761"/>
    <w:rsid w:val="00CD6214"/>
    <w:rsid w:val="00CD7553"/>
    <w:rsid w:val="00CE3663"/>
    <w:rsid w:val="00CF1066"/>
    <w:rsid w:val="00CF2105"/>
    <w:rsid w:val="00CF2367"/>
    <w:rsid w:val="00CF352B"/>
    <w:rsid w:val="00CF385D"/>
    <w:rsid w:val="00CF4679"/>
    <w:rsid w:val="00CF588E"/>
    <w:rsid w:val="00CF5C2C"/>
    <w:rsid w:val="00D149C4"/>
    <w:rsid w:val="00D176C0"/>
    <w:rsid w:val="00D17CBD"/>
    <w:rsid w:val="00D2034A"/>
    <w:rsid w:val="00D24743"/>
    <w:rsid w:val="00D26113"/>
    <w:rsid w:val="00D27DC4"/>
    <w:rsid w:val="00D339D6"/>
    <w:rsid w:val="00D346C1"/>
    <w:rsid w:val="00D364AA"/>
    <w:rsid w:val="00D4023C"/>
    <w:rsid w:val="00D4622C"/>
    <w:rsid w:val="00D46338"/>
    <w:rsid w:val="00D514E4"/>
    <w:rsid w:val="00D52D32"/>
    <w:rsid w:val="00D534C7"/>
    <w:rsid w:val="00D534E6"/>
    <w:rsid w:val="00D61D42"/>
    <w:rsid w:val="00D62462"/>
    <w:rsid w:val="00D634E5"/>
    <w:rsid w:val="00D67FAC"/>
    <w:rsid w:val="00D8045A"/>
    <w:rsid w:val="00D8185B"/>
    <w:rsid w:val="00D903C1"/>
    <w:rsid w:val="00D94B77"/>
    <w:rsid w:val="00D94C62"/>
    <w:rsid w:val="00D94E3E"/>
    <w:rsid w:val="00D94F9D"/>
    <w:rsid w:val="00DA2405"/>
    <w:rsid w:val="00DA302C"/>
    <w:rsid w:val="00DA3158"/>
    <w:rsid w:val="00DA386C"/>
    <w:rsid w:val="00DA6A32"/>
    <w:rsid w:val="00DB054C"/>
    <w:rsid w:val="00DB1A8C"/>
    <w:rsid w:val="00DB6B9C"/>
    <w:rsid w:val="00DB7FC8"/>
    <w:rsid w:val="00DC3A03"/>
    <w:rsid w:val="00DC4666"/>
    <w:rsid w:val="00DC471A"/>
    <w:rsid w:val="00DC5823"/>
    <w:rsid w:val="00DD1109"/>
    <w:rsid w:val="00DD13D6"/>
    <w:rsid w:val="00DD51CF"/>
    <w:rsid w:val="00DD6B9A"/>
    <w:rsid w:val="00DE02BD"/>
    <w:rsid w:val="00DF0D6C"/>
    <w:rsid w:val="00DF5DC7"/>
    <w:rsid w:val="00DF7089"/>
    <w:rsid w:val="00E0093B"/>
    <w:rsid w:val="00E01BAC"/>
    <w:rsid w:val="00E05CC8"/>
    <w:rsid w:val="00E06620"/>
    <w:rsid w:val="00E07899"/>
    <w:rsid w:val="00E15AB4"/>
    <w:rsid w:val="00E17532"/>
    <w:rsid w:val="00E23EC2"/>
    <w:rsid w:val="00E31CD9"/>
    <w:rsid w:val="00E32425"/>
    <w:rsid w:val="00E32F0D"/>
    <w:rsid w:val="00E3700D"/>
    <w:rsid w:val="00E40263"/>
    <w:rsid w:val="00E41308"/>
    <w:rsid w:val="00E47457"/>
    <w:rsid w:val="00E50371"/>
    <w:rsid w:val="00E5491F"/>
    <w:rsid w:val="00E6084E"/>
    <w:rsid w:val="00E60B8F"/>
    <w:rsid w:val="00E622EB"/>
    <w:rsid w:val="00E65284"/>
    <w:rsid w:val="00E76E8B"/>
    <w:rsid w:val="00E84F30"/>
    <w:rsid w:val="00E9228A"/>
    <w:rsid w:val="00E9707F"/>
    <w:rsid w:val="00EA429F"/>
    <w:rsid w:val="00EB3029"/>
    <w:rsid w:val="00EB7897"/>
    <w:rsid w:val="00EB7A52"/>
    <w:rsid w:val="00ED1AE9"/>
    <w:rsid w:val="00EE24ED"/>
    <w:rsid w:val="00EF1277"/>
    <w:rsid w:val="00EF5722"/>
    <w:rsid w:val="00EF5A47"/>
    <w:rsid w:val="00EF5ABA"/>
    <w:rsid w:val="00F0060D"/>
    <w:rsid w:val="00F1005C"/>
    <w:rsid w:val="00F119E6"/>
    <w:rsid w:val="00F21498"/>
    <w:rsid w:val="00F24E41"/>
    <w:rsid w:val="00F25A57"/>
    <w:rsid w:val="00F268A0"/>
    <w:rsid w:val="00F30640"/>
    <w:rsid w:val="00F4225E"/>
    <w:rsid w:val="00F44006"/>
    <w:rsid w:val="00F55AE8"/>
    <w:rsid w:val="00F56E41"/>
    <w:rsid w:val="00F60E50"/>
    <w:rsid w:val="00F6270A"/>
    <w:rsid w:val="00F62D6A"/>
    <w:rsid w:val="00F64BE7"/>
    <w:rsid w:val="00F650C8"/>
    <w:rsid w:val="00F7294A"/>
    <w:rsid w:val="00F73427"/>
    <w:rsid w:val="00F73FAD"/>
    <w:rsid w:val="00F814CA"/>
    <w:rsid w:val="00F84168"/>
    <w:rsid w:val="00F86961"/>
    <w:rsid w:val="00F878B2"/>
    <w:rsid w:val="00F90359"/>
    <w:rsid w:val="00F93C69"/>
    <w:rsid w:val="00F97360"/>
    <w:rsid w:val="00FA024A"/>
    <w:rsid w:val="00FA371F"/>
    <w:rsid w:val="00FB3675"/>
    <w:rsid w:val="00FC1E04"/>
    <w:rsid w:val="00FC37F2"/>
    <w:rsid w:val="00FC3CFE"/>
    <w:rsid w:val="00FC54E6"/>
    <w:rsid w:val="00FD3EE8"/>
    <w:rsid w:val="00FD70FD"/>
    <w:rsid w:val="00FE5B2E"/>
    <w:rsid w:val="00FF2F97"/>
    <w:rsid w:val="00FF45D9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EB97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  <w:style w:type="character" w:customStyle="1" w:styleId="ui-provider">
    <w:name w:val="ui-provider"/>
    <w:basedOn w:val="Standardnpsmoodstavce"/>
    <w:rsid w:val="0065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energeticky-regulacni-vestnik-102025" TargetMode="External"/><Relationship Id="rId18" Type="http://schemas.openxmlformats.org/officeDocument/2006/relationships/hyperlink" Target="https://eru.gov.cz/kopie-z-prumerne-ceny-komodit-pro-stanoveni-vyse-podpory-202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ru.gov.cz/energeticky-regulacni-vestnik-1420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u.gov.cz/energeticky-regulacni-vestnik-12202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ru.gov.cz/energeticky-regulacni-vestnik-13202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ru.gov.cz/energeticky-regulacni-vestnik-1520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u.gov.cz/energeticky-regulacni-vestnik-112025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4.xml><?xml version="1.0" encoding="utf-8"?>
<ds:datastoreItem xmlns:ds="http://schemas.openxmlformats.org/officeDocument/2006/customXml" ds:itemID="{8974A276-6B4E-45E6-AF0B-8EBD825C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25</TotalTime>
  <Pages>2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Liška Jan Ing.</dc:creator>
  <cp:keywords/>
  <cp:lastModifiedBy>Hamrník Jan Mgr.</cp:lastModifiedBy>
  <cp:revision>8</cp:revision>
  <cp:lastPrinted>2025-05-19T05:39:00Z</cp:lastPrinted>
  <dcterms:created xsi:type="dcterms:W3CDTF">2025-09-29T13:39:00Z</dcterms:created>
  <dcterms:modified xsi:type="dcterms:W3CDTF">2025-09-30T08:59:00Z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