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672BB" w14:textId="667A3E38" w:rsidR="00B84FE2" w:rsidRPr="00B84FE2" w:rsidRDefault="004B6A2B" w:rsidP="00B84FE2">
      <w:pPr>
        <w:pStyle w:val="NadpisX"/>
        <w:tabs>
          <w:tab w:val="clear" w:pos="851"/>
          <w:tab w:val="left" w:pos="1276"/>
        </w:tabs>
        <w:spacing w:before="0" w:after="12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v prvním pololetí rostla spotřeba elektřiny 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 xml:space="preserve"> plynu, nejvíce u domácností </w:t>
      </w:r>
    </w:p>
    <w:p w14:paraId="572C3684" w14:textId="4037615E" w:rsidR="00B84FE2" w:rsidRPr="000218CC" w:rsidRDefault="00B84FE2" w:rsidP="00DA302C">
      <w:pPr>
        <w:rPr>
          <w:lang w:eastAsia="en-US"/>
        </w:rPr>
        <w:sectPr w:rsidR="00B84FE2" w:rsidRPr="000218CC" w:rsidSect="00AE1652">
          <w:headerReference w:type="default" r:id="rId11"/>
          <w:footerReference w:type="default" r:id="rId12"/>
          <w:type w:val="continuous"/>
          <w:pgSz w:w="11906" w:h="16838" w:code="9"/>
          <w:pgMar w:top="1843" w:right="851" w:bottom="1134" w:left="851" w:header="0" w:footer="0" w:gutter="0"/>
          <w:pgNumType w:start="1"/>
          <w:cols w:space="708"/>
          <w:docGrid w:linePitch="360"/>
        </w:sectPr>
      </w:pPr>
      <w:r>
        <w:rPr>
          <w:lang w:eastAsia="en-US"/>
        </w:rPr>
        <w:t xml:space="preserve">Tisková zpráva, </w:t>
      </w:r>
      <w:r w:rsidR="00C0728A" w:rsidRPr="00C0728A">
        <w:rPr>
          <w:lang w:eastAsia="en-US"/>
        </w:rPr>
        <w:t>20</w:t>
      </w:r>
      <w:r w:rsidRPr="00C0728A">
        <w:rPr>
          <w:lang w:eastAsia="en-US"/>
        </w:rPr>
        <w:t>.</w:t>
      </w:r>
      <w:r w:rsidR="00E6084E">
        <w:rPr>
          <w:lang w:eastAsia="en-US"/>
        </w:rPr>
        <w:t>0</w:t>
      </w:r>
      <w:r w:rsidR="004B6A2B">
        <w:rPr>
          <w:lang w:eastAsia="en-US"/>
        </w:rPr>
        <w:t>8</w:t>
      </w:r>
      <w:r>
        <w:rPr>
          <w:lang w:eastAsia="en-US"/>
        </w:rPr>
        <w:t>.202</w:t>
      </w:r>
      <w:r w:rsidR="00E6084E">
        <w:rPr>
          <w:lang w:eastAsia="en-US"/>
        </w:rPr>
        <w:t>5</w:t>
      </w:r>
    </w:p>
    <w:p w14:paraId="1F18B926" w14:textId="2A712BEE" w:rsidR="004B6A2B" w:rsidRDefault="004B6A2B" w:rsidP="004B6A2B">
      <w:pPr>
        <w:widowControl w:val="0"/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>V prvním pololetí roku 2025 Češi spotřebovali více energie než před rokem. Spotřeba elektřiny meziročně vzrostla o 2,6 %, u zemního plynu dosáhl nárůst 13,2 %. V případě obou komodit svou spotřebu nejvíce zvýšily domácnosti. Vzrostla i výroba elektřiny</w:t>
      </w:r>
      <w:r w:rsidR="00134245">
        <w:rPr>
          <w:rFonts w:cstheme="minorHAnsi"/>
          <w:b/>
          <w:i/>
        </w:rPr>
        <w:t xml:space="preserve"> a došlo k posílení tranzitu zemního plynu. </w:t>
      </w:r>
      <w:r>
        <w:rPr>
          <w:rFonts w:cstheme="minorHAnsi"/>
          <w:b/>
          <w:i/>
        </w:rPr>
        <w:t xml:space="preserve">Vyplývá to ze zpráv o provozu soustav, které pravidelně zpracovává Energetický regulační úřad (ERÚ). </w:t>
      </w:r>
    </w:p>
    <w:p w14:paraId="1283A9CB" w14:textId="587F382E" w:rsidR="004B6A2B" w:rsidRDefault="004B6A2B" w:rsidP="004B6A2B">
      <w:pPr>
        <w:widowControl w:val="0"/>
        <w:jc w:val="both"/>
        <w:rPr>
          <w:b/>
        </w:rPr>
      </w:pPr>
      <w:r w:rsidRPr="00CF7632">
        <w:rPr>
          <w:rFonts w:cstheme="minorHAnsi"/>
          <w:i/>
        </w:rPr>
        <w:t>„Zatímco v loňském roce se zastavil pokles</w:t>
      </w:r>
      <w:r w:rsidR="00CA7FD9">
        <w:rPr>
          <w:rFonts w:cstheme="minorHAnsi"/>
          <w:i/>
        </w:rPr>
        <w:t xml:space="preserve"> spotřeby</w:t>
      </w:r>
      <w:r w:rsidRPr="00CF7632">
        <w:rPr>
          <w:rFonts w:cstheme="minorHAnsi"/>
          <w:i/>
        </w:rPr>
        <w:t>, letos už se trend naplno obrací a spotřeba elektřiny i plynu rost</w:t>
      </w:r>
      <w:r>
        <w:rPr>
          <w:rFonts w:cstheme="minorHAnsi"/>
          <w:i/>
        </w:rPr>
        <w:t>e</w:t>
      </w:r>
      <w:r w:rsidRPr="00CF7632">
        <w:rPr>
          <w:rFonts w:cstheme="minorHAnsi"/>
          <w:i/>
        </w:rPr>
        <w:t xml:space="preserve">. </w:t>
      </w:r>
      <w:r w:rsidR="00CA7FD9">
        <w:rPr>
          <w:rFonts w:cstheme="minorHAnsi"/>
          <w:i/>
        </w:rPr>
        <w:t>Důvodem jsou</w:t>
      </w:r>
      <w:r w:rsidRPr="00CF7632">
        <w:rPr>
          <w:rFonts w:cstheme="minorHAnsi"/>
          <w:i/>
        </w:rPr>
        <w:t xml:space="preserve"> jak ceny energie, které po krizi klesly, tak meziročně nižší teploty, které </w:t>
      </w:r>
      <w:r>
        <w:rPr>
          <w:rFonts w:cstheme="minorHAnsi"/>
          <w:i/>
        </w:rPr>
        <w:t xml:space="preserve">výrazně </w:t>
      </w:r>
      <w:r w:rsidRPr="00CF7632">
        <w:rPr>
          <w:rFonts w:cstheme="minorHAnsi"/>
          <w:i/>
        </w:rPr>
        <w:t>ovlivňují zejména spotřebu plynu</w:t>
      </w:r>
      <w:r>
        <w:rPr>
          <w:rFonts w:cstheme="minorHAnsi"/>
          <w:i/>
        </w:rPr>
        <w:t>,</w:t>
      </w:r>
      <w:r w:rsidRPr="00CF7632">
        <w:rPr>
          <w:rFonts w:cstheme="minorHAnsi"/>
          <w:i/>
        </w:rPr>
        <w:t>“</w:t>
      </w:r>
      <w:r>
        <w:rPr>
          <w:rFonts w:cstheme="minorHAnsi"/>
        </w:rPr>
        <w:t xml:space="preserve"> shrnuje </w:t>
      </w:r>
      <w:r w:rsidRPr="0006423F">
        <w:rPr>
          <w:b/>
        </w:rPr>
        <w:t>Jan Šefránek, předseda ERÚ</w:t>
      </w:r>
      <w:r>
        <w:rPr>
          <w:b/>
        </w:rPr>
        <w:t xml:space="preserve">. </w:t>
      </w:r>
    </w:p>
    <w:p w14:paraId="6015930E" w14:textId="239B2730" w:rsidR="004B6A2B" w:rsidRPr="00710233" w:rsidRDefault="004B6A2B" w:rsidP="004B6A2B">
      <w:pPr>
        <w:widowControl w:val="0"/>
        <w:jc w:val="both"/>
      </w:pPr>
      <w:r w:rsidRPr="00710233">
        <w:rPr>
          <w:i/>
        </w:rPr>
        <w:t>„</w:t>
      </w:r>
      <w:r w:rsidR="00CA7FD9">
        <w:rPr>
          <w:i/>
        </w:rPr>
        <w:t xml:space="preserve">Vliv teploty je patrný u obou komodit. Zatímco </w:t>
      </w:r>
      <w:r w:rsidR="00CA7FD9">
        <w:rPr>
          <w:rFonts w:cstheme="minorHAnsi"/>
          <w:i/>
        </w:rPr>
        <w:t>s</w:t>
      </w:r>
      <w:r w:rsidR="00CA7FD9" w:rsidRPr="00CF7632">
        <w:rPr>
          <w:rFonts w:cstheme="minorHAnsi"/>
          <w:i/>
        </w:rPr>
        <w:t>kutečn</w:t>
      </w:r>
      <w:r w:rsidR="00CA7FD9">
        <w:rPr>
          <w:rFonts w:cstheme="minorHAnsi"/>
          <w:i/>
        </w:rPr>
        <w:t>á</w:t>
      </w:r>
      <w:r w:rsidR="00CA7FD9" w:rsidRPr="00CF7632">
        <w:rPr>
          <w:rFonts w:cstheme="minorHAnsi"/>
          <w:i/>
        </w:rPr>
        <w:t xml:space="preserve"> spotřeb</w:t>
      </w:r>
      <w:r w:rsidR="00CA7FD9">
        <w:rPr>
          <w:rFonts w:cstheme="minorHAnsi"/>
          <w:i/>
        </w:rPr>
        <w:t xml:space="preserve">a plynu </w:t>
      </w:r>
      <w:r w:rsidR="00CA7FD9" w:rsidRPr="00CF7632">
        <w:rPr>
          <w:rFonts w:cstheme="minorHAnsi"/>
          <w:i/>
        </w:rPr>
        <w:t>vzrostla o</w:t>
      </w:r>
      <w:r w:rsidR="00CA7FD9">
        <w:rPr>
          <w:rFonts w:cstheme="minorHAnsi"/>
          <w:i/>
        </w:rPr>
        <w:t> </w:t>
      </w:r>
      <w:r w:rsidR="00CA7FD9" w:rsidRPr="00CF7632">
        <w:rPr>
          <w:rFonts w:cstheme="minorHAnsi"/>
          <w:i/>
        </w:rPr>
        <w:t>13,2</w:t>
      </w:r>
      <w:r w:rsidR="00CA7FD9">
        <w:rPr>
          <w:rFonts w:cstheme="minorHAnsi"/>
          <w:i/>
        </w:rPr>
        <w:t> procenta</w:t>
      </w:r>
      <w:r w:rsidR="00CA7FD9" w:rsidRPr="00CF7632">
        <w:rPr>
          <w:rFonts w:cstheme="minorHAnsi"/>
          <w:i/>
        </w:rPr>
        <w:t>, spotřeb</w:t>
      </w:r>
      <w:r w:rsidR="00CA7FD9">
        <w:rPr>
          <w:rFonts w:cstheme="minorHAnsi"/>
          <w:i/>
        </w:rPr>
        <w:t>a</w:t>
      </w:r>
      <w:r w:rsidR="00CA7FD9" w:rsidRPr="00CF7632">
        <w:rPr>
          <w:rFonts w:cstheme="minorHAnsi"/>
          <w:i/>
        </w:rPr>
        <w:t xml:space="preserve"> očištěn</w:t>
      </w:r>
      <w:r w:rsidR="00CA7FD9">
        <w:rPr>
          <w:rFonts w:cstheme="minorHAnsi"/>
          <w:i/>
        </w:rPr>
        <w:t>á</w:t>
      </w:r>
      <w:r w:rsidR="00CA7FD9" w:rsidRPr="00CF7632">
        <w:rPr>
          <w:rFonts w:cstheme="minorHAnsi"/>
          <w:i/>
        </w:rPr>
        <w:t xml:space="preserve"> o teplotní vlivy se zvýšila o 4,3</w:t>
      </w:r>
      <w:r w:rsidR="00CA7FD9">
        <w:rPr>
          <w:rFonts w:cstheme="minorHAnsi"/>
          <w:i/>
        </w:rPr>
        <w:t xml:space="preserve"> procenta</w:t>
      </w:r>
      <w:r w:rsidR="00CA7FD9" w:rsidRPr="00710233">
        <w:rPr>
          <w:i/>
        </w:rPr>
        <w:t xml:space="preserve"> </w:t>
      </w:r>
      <w:r w:rsidRPr="00710233">
        <w:rPr>
          <w:i/>
        </w:rPr>
        <w:t>Větší potřeba vytápě</w:t>
      </w:r>
      <w:r>
        <w:rPr>
          <w:i/>
        </w:rPr>
        <w:t>t</w:t>
      </w:r>
      <w:r w:rsidRPr="00710233">
        <w:rPr>
          <w:i/>
        </w:rPr>
        <w:t xml:space="preserve"> </w:t>
      </w:r>
      <w:r>
        <w:rPr>
          <w:i/>
        </w:rPr>
        <w:t>měla</w:t>
      </w:r>
      <w:r w:rsidR="00CA7FD9">
        <w:rPr>
          <w:i/>
        </w:rPr>
        <w:t xml:space="preserve"> </w:t>
      </w:r>
      <w:r>
        <w:rPr>
          <w:i/>
        </w:rPr>
        <w:t>vliv</w:t>
      </w:r>
      <w:r w:rsidRPr="00710233">
        <w:rPr>
          <w:i/>
        </w:rPr>
        <w:t xml:space="preserve"> také</w:t>
      </w:r>
      <w:r>
        <w:rPr>
          <w:i/>
        </w:rPr>
        <w:t xml:space="preserve"> na</w:t>
      </w:r>
      <w:r w:rsidRPr="00710233">
        <w:rPr>
          <w:i/>
        </w:rPr>
        <w:t xml:space="preserve"> využívání elektřiny, zejména v domácnostech. Jejich spotřeba meziročně vzrostla o 9,3</w:t>
      </w:r>
      <w:r>
        <w:rPr>
          <w:i/>
        </w:rPr>
        <w:t xml:space="preserve"> procenta</w:t>
      </w:r>
      <w:r w:rsidRPr="00710233">
        <w:rPr>
          <w:i/>
        </w:rPr>
        <w:t xml:space="preserve">, což je výrazně více než u ostatních kategorií odběratelů,“ </w:t>
      </w:r>
      <w:r>
        <w:t xml:space="preserve">dodává </w:t>
      </w:r>
      <w:r w:rsidRPr="00710233">
        <w:rPr>
          <w:b/>
        </w:rPr>
        <w:t>Jan Šefránek.</w:t>
      </w:r>
      <w:r>
        <w:t xml:space="preserve"> </w:t>
      </w:r>
    </w:p>
    <w:p w14:paraId="36B776C6" w14:textId="77777777" w:rsidR="004B6A2B" w:rsidRPr="004D503E" w:rsidRDefault="004B6A2B" w:rsidP="004B6A2B">
      <w:pPr>
        <w:pStyle w:val="Bezmezer"/>
        <w:spacing w:before="60" w:after="120"/>
        <w:rPr>
          <w:b/>
        </w:rPr>
      </w:pPr>
      <w:r w:rsidRPr="004D503E">
        <w:rPr>
          <w:b/>
        </w:rPr>
        <w:t>Elektřina</w:t>
      </w:r>
    </w:p>
    <w:p w14:paraId="375458FB" w14:textId="77777777" w:rsidR="004B6A2B" w:rsidRDefault="004B6A2B" w:rsidP="004B6A2B">
      <w:pPr>
        <w:pStyle w:val="Bezmezer"/>
        <w:spacing w:before="60" w:after="120"/>
      </w:pPr>
      <w:r>
        <w:t xml:space="preserve">Celková netto spotřeba </w:t>
      </w:r>
      <w:r>
        <w:rPr>
          <w:rStyle w:val="Znakapoznpodarou"/>
        </w:rPr>
        <w:footnoteReference w:id="1"/>
      </w:r>
      <w:r>
        <w:t xml:space="preserve">elektřiny byla v prvním pololetí letošního roku 30,1 </w:t>
      </w:r>
      <w:proofErr w:type="spellStart"/>
      <w:r>
        <w:rPr>
          <w:rFonts w:eastAsia="Times New Roman"/>
        </w:rPr>
        <w:t>TWh</w:t>
      </w:r>
      <w:proofErr w:type="spellEnd"/>
      <w:r>
        <w:rPr>
          <w:rFonts w:eastAsia="Times New Roman"/>
        </w:rPr>
        <w:t xml:space="preserve">, meziročně vzrostla o 2,6 %. U domácností se zvýšila </w:t>
      </w:r>
      <w:r>
        <w:t xml:space="preserve">o </w:t>
      </w:r>
      <w:r w:rsidRPr="00460798">
        <w:t>9,3 %,</w:t>
      </w:r>
      <w:r>
        <w:t xml:space="preserve"> u podnikatelů o 2,7 % a u velkoodběratelů na hladině vysokého napětí o 0,2 %. U kategorie velkoodběratelů na hladině velmi vysokého napětí pak dokonce nepatrně klesla (-0,2 %).</w:t>
      </w:r>
    </w:p>
    <w:p w14:paraId="306B8561" w14:textId="41AE0EA1" w:rsidR="004B6A2B" w:rsidRDefault="004B6A2B" w:rsidP="004B6A2B">
      <w:pPr>
        <w:pStyle w:val="Bezmezer"/>
        <w:spacing w:before="60" w:after="120"/>
        <w:rPr>
          <w:rFonts w:eastAsia="Times New Roman"/>
        </w:rPr>
      </w:pPr>
      <w:r>
        <w:t xml:space="preserve">Ještě výraznější nárůst ERÚ zaznamenal u výroby elektřiny. Její celková hodnota za první pololetí činila 36,3 </w:t>
      </w:r>
      <w:proofErr w:type="spellStart"/>
      <w:r>
        <w:rPr>
          <w:rFonts w:eastAsia="Times New Roman"/>
        </w:rPr>
        <w:t>TWh</w:t>
      </w:r>
      <w:proofErr w:type="spellEnd"/>
      <w:r>
        <w:rPr>
          <w:rFonts w:eastAsia="Times New Roman"/>
        </w:rPr>
        <w:t xml:space="preserve">, což je meziročně o 7,5 % více. Výroba se zvýšila </w:t>
      </w:r>
      <w:r w:rsidR="00C0728A">
        <w:rPr>
          <w:rFonts w:eastAsia="Times New Roman"/>
        </w:rPr>
        <w:t>především</w:t>
      </w:r>
      <w:r>
        <w:rPr>
          <w:rFonts w:eastAsia="Times New Roman"/>
        </w:rPr>
        <w:t xml:space="preserve"> u paroplynových elektráren (+53,6</w:t>
      </w:r>
      <w:r w:rsidR="00C0728A">
        <w:rPr>
          <w:rFonts w:eastAsia="Times New Roman"/>
        </w:rPr>
        <w:t> </w:t>
      </w:r>
      <w:r>
        <w:rPr>
          <w:rFonts w:eastAsia="Times New Roman"/>
        </w:rPr>
        <w:t xml:space="preserve">%), více vyrobily rovněž </w:t>
      </w:r>
      <w:proofErr w:type="spellStart"/>
      <w:r>
        <w:rPr>
          <w:rFonts w:eastAsia="Times New Roman"/>
        </w:rPr>
        <w:t>fotovoltaické</w:t>
      </w:r>
      <w:proofErr w:type="spellEnd"/>
      <w:r>
        <w:rPr>
          <w:rFonts w:eastAsia="Times New Roman"/>
        </w:rPr>
        <w:t xml:space="preserve"> (+26 %), parní (+9,8 %), jaderné (+6 %) a plynové a spalovací elektrárny (+3,5 %). Výroba </w:t>
      </w:r>
      <w:r w:rsidR="00C0728A">
        <w:rPr>
          <w:rFonts w:eastAsia="Times New Roman"/>
        </w:rPr>
        <w:t xml:space="preserve">naopak </w:t>
      </w:r>
      <w:r>
        <w:rPr>
          <w:rFonts w:eastAsia="Times New Roman"/>
        </w:rPr>
        <w:t xml:space="preserve">poklesla u elektráren vodních (-37 %), větrných (-11,1 %) a přečerpávacích (-4,2 %). </w:t>
      </w:r>
    </w:p>
    <w:p w14:paraId="39E660DD" w14:textId="2EB6A883" w:rsidR="004B6A2B" w:rsidRPr="00F0216F" w:rsidRDefault="004B6A2B" w:rsidP="004B6A2B">
      <w:pPr>
        <w:pStyle w:val="Bezmezer"/>
        <w:spacing w:before="60" w:after="120"/>
        <w:rPr>
          <w:rFonts w:eastAsia="Times New Roman" w:cs="Arial"/>
          <w:i/>
          <w:lang w:eastAsia="cs-CZ"/>
        </w:rPr>
      </w:pPr>
      <w:r w:rsidRPr="00F0216F">
        <w:rPr>
          <w:rFonts w:eastAsia="Times New Roman"/>
        </w:rPr>
        <w:t xml:space="preserve">Instalovaný elektrický výkon narostl </w:t>
      </w:r>
      <w:r>
        <w:rPr>
          <w:rFonts w:eastAsia="Times New Roman"/>
        </w:rPr>
        <w:t xml:space="preserve">zejména </w:t>
      </w:r>
      <w:r w:rsidRPr="00F0216F">
        <w:rPr>
          <w:rFonts w:eastAsia="Times New Roman"/>
        </w:rPr>
        <w:t xml:space="preserve">u plynových a spalovacích </w:t>
      </w:r>
      <w:r>
        <w:rPr>
          <w:rFonts w:eastAsia="Times New Roman"/>
        </w:rPr>
        <w:t>(+</w:t>
      </w:r>
      <w:r w:rsidRPr="00F0216F">
        <w:rPr>
          <w:rFonts w:eastAsia="Times New Roman"/>
        </w:rPr>
        <w:t>17,1</w:t>
      </w:r>
      <w:r>
        <w:rPr>
          <w:rFonts w:eastAsia="Times New Roman"/>
        </w:rPr>
        <w:t xml:space="preserve"> </w:t>
      </w:r>
      <w:r w:rsidRPr="00F0216F">
        <w:rPr>
          <w:rFonts w:eastAsia="Times New Roman"/>
        </w:rPr>
        <w:t>%</w:t>
      </w:r>
      <w:r>
        <w:rPr>
          <w:rFonts w:eastAsia="Times New Roman"/>
        </w:rPr>
        <w:t>)</w:t>
      </w:r>
      <w:r w:rsidRPr="00F0216F">
        <w:rPr>
          <w:rFonts w:eastAsia="Times New Roman"/>
        </w:rPr>
        <w:t xml:space="preserve"> a u </w:t>
      </w:r>
      <w:proofErr w:type="spellStart"/>
      <w:r w:rsidRPr="00F0216F">
        <w:rPr>
          <w:rFonts w:eastAsia="Times New Roman"/>
        </w:rPr>
        <w:t>fotovoltaických</w:t>
      </w:r>
      <w:proofErr w:type="spellEnd"/>
      <w:r w:rsidRPr="00F0216F">
        <w:rPr>
          <w:rFonts w:eastAsia="Times New Roman"/>
        </w:rPr>
        <w:t xml:space="preserve"> elektráren </w:t>
      </w:r>
      <w:r>
        <w:rPr>
          <w:rFonts w:eastAsia="Times New Roman"/>
        </w:rPr>
        <w:t>(+</w:t>
      </w:r>
      <w:r w:rsidRPr="00F0216F">
        <w:rPr>
          <w:rFonts w:eastAsia="Times New Roman"/>
        </w:rPr>
        <w:t>16,5 %</w:t>
      </w:r>
      <w:r>
        <w:rPr>
          <w:rFonts w:eastAsia="Times New Roman"/>
        </w:rPr>
        <w:t>)</w:t>
      </w:r>
      <w:r w:rsidRPr="00F0216F">
        <w:rPr>
          <w:rFonts w:eastAsia="Times New Roman"/>
        </w:rPr>
        <w:t>.</w:t>
      </w:r>
    </w:p>
    <w:p w14:paraId="561EC34B" w14:textId="77777777" w:rsidR="004B6A2B" w:rsidRDefault="004B6A2B" w:rsidP="004B6A2B">
      <w:pPr>
        <w:jc w:val="both"/>
        <w:rPr>
          <w:rFonts w:eastAsia="Times New Roman"/>
        </w:rPr>
      </w:pPr>
      <w:r>
        <w:rPr>
          <w:rFonts w:eastAsia="Times New Roman"/>
        </w:rPr>
        <w:t xml:space="preserve">Podrobnější informace jsou uvedeny ve </w:t>
      </w:r>
      <w:hyperlink r:id="rId13" w:history="1">
        <w:r w:rsidRPr="008514DF">
          <w:rPr>
            <w:rStyle w:val="Hypertextovodkaz"/>
            <w:rFonts w:eastAsia="Times New Roman"/>
          </w:rPr>
          <w:t>čtvrtletní zprávě ERÚ o provozu elektrizační soustavy</w:t>
        </w:r>
      </w:hyperlink>
      <w:r>
        <w:rPr>
          <w:rFonts w:eastAsia="Times New Roman"/>
        </w:rPr>
        <w:t xml:space="preserve">. </w:t>
      </w:r>
    </w:p>
    <w:p w14:paraId="7536F93F" w14:textId="77777777" w:rsidR="004B6A2B" w:rsidRDefault="004B6A2B" w:rsidP="004B6A2B">
      <w:pPr>
        <w:pStyle w:val="Bezmezer"/>
        <w:spacing w:before="60" w:after="120"/>
        <w:rPr>
          <w:b/>
        </w:rPr>
      </w:pPr>
      <w:r w:rsidRPr="00D4622C">
        <w:rPr>
          <w:b/>
        </w:rPr>
        <w:t>Plyn</w:t>
      </w:r>
    </w:p>
    <w:p w14:paraId="5904E065" w14:textId="4D73FCD8" w:rsidR="004B6A2B" w:rsidRDefault="004B6A2B" w:rsidP="004B6A2B">
      <w:pPr>
        <w:spacing w:before="0" w:after="160" w:line="259" w:lineRule="auto"/>
        <w:jc w:val="both"/>
      </w:pPr>
      <w:r w:rsidRPr="00C80364">
        <w:rPr>
          <w:rFonts w:eastAsia="Times New Roman"/>
        </w:rPr>
        <w:t>Spotřeba plynu vystoupala na</w:t>
      </w:r>
      <w:r>
        <w:rPr>
          <w:rFonts w:eastAsia="Times New Roman"/>
        </w:rPr>
        <w:t xml:space="preserve"> hodnotu</w:t>
      </w:r>
      <w:r w:rsidRPr="00C80364">
        <w:rPr>
          <w:rFonts w:eastAsia="Times New Roman"/>
        </w:rPr>
        <w:t xml:space="preserve"> </w:t>
      </w:r>
      <w:r>
        <w:t xml:space="preserve">4 mld. </w:t>
      </w:r>
      <w:r w:rsidRPr="00C80364">
        <w:rPr>
          <w:spacing w:val="3"/>
          <w:shd w:val="clear" w:color="auto" w:fill="FFFFFF"/>
        </w:rPr>
        <w:t>m</w:t>
      </w:r>
      <w:r w:rsidRPr="00C80364">
        <w:rPr>
          <w:spacing w:val="3"/>
          <w:shd w:val="clear" w:color="auto" w:fill="FFFFFF"/>
          <w:vertAlign w:val="superscript"/>
        </w:rPr>
        <w:t xml:space="preserve">3 </w:t>
      </w:r>
      <w:r>
        <w:t xml:space="preserve">(43,3 </w:t>
      </w:r>
      <w:proofErr w:type="spellStart"/>
      <w:r>
        <w:t>TWh</w:t>
      </w:r>
      <w:proofErr w:type="spellEnd"/>
      <w:r>
        <w:t xml:space="preserve">), což představuje meziroční nárůst o 13,2 %. Po přepočtení na dlouhodobý teplotní normál však byl růst podstatně nižší, </w:t>
      </w:r>
      <w:r w:rsidR="004B4D49">
        <w:t>konkrétně</w:t>
      </w:r>
      <w:r>
        <w:t xml:space="preserve"> 4,3 %. P</w:t>
      </w:r>
      <w:r w:rsidRPr="00C80364">
        <w:t>růměrná</w:t>
      </w:r>
      <w:r>
        <w:t xml:space="preserve"> naměřená teplota za letošní pololetí totiž byla téměř o dva stupně nižší, než za stejné období před rokem (</w:t>
      </w:r>
      <w:proofErr w:type="gramStart"/>
      <w:r w:rsidRPr="00C80364">
        <w:t>7,5°C</w:t>
      </w:r>
      <w:proofErr w:type="gramEnd"/>
      <w:r>
        <w:t xml:space="preserve"> proti </w:t>
      </w:r>
      <w:r w:rsidRPr="00C80364">
        <w:t>9,3°C</w:t>
      </w:r>
      <w:r>
        <w:t xml:space="preserve">). </w:t>
      </w:r>
      <w:r w:rsidRPr="00C80364">
        <w:t xml:space="preserve">Nárůst </w:t>
      </w:r>
      <w:r>
        <w:t xml:space="preserve">spotřeby </w:t>
      </w:r>
      <w:r w:rsidRPr="00C80364">
        <w:t>byl zaznamenán u všech kategorií odběru, nejvíce však u</w:t>
      </w:r>
      <w:r>
        <w:t> </w:t>
      </w:r>
      <w:r w:rsidRPr="00C80364">
        <w:t xml:space="preserve">domácností </w:t>
      </w:r>
      <w:r>
        <w:t>(+</w:t>
      </w:r>
      <w:r w:rsidRPr="00C80364">
        <w:t>15,3 %</w:t>
      </w:r>
      <w:r>
        <w:t>)</w:t>
      </w:r>
      <w:r w:rsidRPr="00C80364">
        <w:t xml:space="preserve"> a maloodběratelů </w:t>
      </w:r>
      <w:r>
        <w:t>(+</w:t>
      </w:r>
      <w:r w:rsidRPr="00C80364">
        <w:t>15 %</w:t>
      </w:r>
      <w:r>
        <w:t xml:space="preserve">). </w:t>
      </w:r>
    </w:p>
    <w:p w14:paraId="2B215BEF" w14:textId="77777777" w:rsidR="004B6A2B" w:rsidRDefault="004B6A2B" w:rsidP="004B6A2B">
      <w:pPr>
        <w:spacing w:before="0" w:after="160" w:line="259" w:lineRule="auto"/>
        <w:jc w:val="both"/>
      </w:pPr>
      <w:r>
        <w:t xml:space="preserve">Meziročně došlo i k posílení tranzitu zemního plynu. Import do Česka </w:t>
      </w:r>
      <w:r w:rsidRPr="00C80364">
        <w:t>meziročně narostl o 25,3 %</w:t>
      </w:r>
      <w:r>
        <w:t xml:space="preserve"> (na </w:t>
      </w:r>
      <w:r>
        <w:rPr>
          <w:rFonts w:eastAsia="Times New Roman"/>
        </w:rPr>
        <w:t xml:space="preserve">3,9 mld. </w:t>
      </w:r>
      <w:r w:rsidRPr="008E1519">
        <w:rPr>
          <w:spacing w:val="3"/>
          <w:shd w:val="clear" w:color="auto" w:fill="FFFFFF"/>
        </w:rPr>
        <w:t>m</w:t>
      </w:r>
      <w:r w:rsidRPr="008E1519">
        <w:rPr>
          <w:spacing w:val="3"/>
          <w:shd w:val="clear" w:color="auto" w:fill="FFFFFF"/>
          <w:vertAlign w:val="superscript"/>
        </w:rPr>
        <w:t>3</w:t>
      </w:r>
      <w:r>
        <w:rPr>
          <w:rFonts w:eastAsia="Times New Roman"/>
        </w:rPr>
        <w:t xml:space="preserve">), </w:t>
      </w:r>
      <w:r w:rsidRPr="00C80364">
        <w:t>veškerý dovezený plyn</w:t>
      </w:r>
      <w:r>
        <w:t xml:space="preserve"> k nám přitekl</w:t>
      </w:r>
      <w:r w:rsidRPr="00C80364">
        <w:t xml:space="preserve"> přes Německo.</w:t>
      </w:r>
      <w:r>
        <w:t xml:space="preserve"> Export z České republiky se pak zvýšil dokonce o </w:t>
      </w:r>
      <w:r w:rsidRPr="00C80364">
        <w:t>174,7 %</w:t>
      </w:r>
      <w:r>
        <w:t xml:space="preserve"> (na </w:t>
      </w:r>
      <w:r w:rsidRPr="00C80364">
        <w:t>106 mil. m</w:t>
      </w:r>
      <w:r w:rsidRPr="00C80364">
        <w:rPr>
          <w:vertAlign w:val="superscript"/>
        </w:rPr>
        <w:t>3</w:t>
      </w:r>
      <w:r>
        <w:t>)</w:t>
      </w:r>
      <w:r w:rsidRPr="00C80364">
        <w:t xml:space="preserve">, vývoz plynu </w:t>
      </w:r>
      <w:r>
        <w:t>se uskutečnil</w:t>
      </w:r>
      <w:r w:rsidRPr="00C80364">
        <w:t xml:space="preserve"> do Polska a na Slovensko.</w:t>
      </w:r>
      <w:r>
        <w:t xml:space="preserve"> </w:t>
      </w:r>
    </w:p>
    <w:p w14:paraId="39D0A01D" w14:textId="2D053ABA" w:rsidR="004B6A2B" w:rsidRDefault="004B6A2B" w:rsidP="004B6A2B">
      <w:pPr>
        <w:spacing w:before="0" w:after="160" w:line="259" w:lineRule="auto"/>
        <w:jc w:val="both"/>
      </w:pPr>
      <w:r w:rsidRPr="00C330D2">
        <w:rPr>
          <w:i/>
        </w:rPr>
        <w:lastRenderedPageBreak/>
        <w:t>„</w:t>
      </w:r>
      <w:r w:rsidR="004B4D49">
        <w:rPr>
          <w:i/>
        </w:rPr>
        <w:t>Rovněž došlo meziročně k nárůstu tranzitu zemního plynu. Import do ČR narostl o 25,3 % a export dokonce o 174,7 %. Zda to bude trend i do dalšího období</w:t>
      </w:r>
      <w:r w:rsidR="00C0728A">
        <w:rPr>
          <w:i/>
        </w:rPr>
        <w:t>,</w:t>
      </w:r>
      <w:r w:rsidR="004B4D49">
        <w:rPr>
          <w:i/>
        </w:rPr>
        <w:t xml:space="preserve"> ukáže čas</w:t>
      </w:r>
      <w:r w:rsidR="00C0728A">
        <w:rPr>
          <w:i/>
        </w:rPr>
        <w:t>.</w:t>
      </w:r>
      <w:r w:rsidR="004B4D49">
        <w:rPr>
          <w:i/>
        </w:rPr>
        <w:t xml:space="preserve"> </w:t>
      </w:r>
      <w:r w:rsidR="00C0728A">
        <w:rPr>
          <w:i/>
        </w:rPr>
        <w:t>K</w:t>
      </w:r>
      <w:r w:rsidR="004B4D49">
        <w:rPr>
          <w:i/>
        </w:rPr>
        <w:t>aždopádně podle nově nastavených pravidel regulace jdou výnosy z tranzitu plynu ve prospěch českých zákazníků</w:t>
      </w:r>
      <w:r w:rsidRPr="00C330D2">
        <w:rPr>
          <w:i/>
        </w:rPr>
        <w:t>,“</w:t>
      </w:r>
      <w:r>
        <w:t xml:space="preserve"> uvádí</w:t>
      </w:r>
      <w:r>
        <w:rPr>
          <w:b/>
        </w:rPr>
        <w:t xml:space="preserve"> Jan Šefránek</w:t>
      </w:r>
      <w:r>
        <w:t xml:space="preserve">. </w:t>
      </w:r>
    </w:p>
    <w:p w14:paraId="139B4C88" w14:textId="5CB0E39D" w:rsidR="004B6A2B" w:rsidRDefault="004B6A2B" w:rsidP="004B6A2B">
      <w:pPr>
        <w:spacing w:before="0" w:after="160" w:line="259" w:lineRule="auto"/>
        <w:jc w:val="both"/>
      </w:pPr>
      <w:r w:rsidRPr="00044534">
        <w:t xml:space="preserve">V prvním pololetí se ze zásobníků vytěžilo více zemního plynu než před rokem (o 4,7 %) a více plynu se </w:t>
      </w:r>
      <w:r>
        <w:t>d</w:t>
      </w:r>
      <w:r w:rsidRPr="00044534">
        <w:t xml:space="preserve">o nich </w:t>
      </w:r>
      <w:r>
        <w:t xml:space="preserve">i </w:t>
      </w:r>
      <w:r w:rsidRPr="00044534">
        <w:t>vtlačilo (o 35,4 %).</w:t>
      </w:r>
      <w:r>
        <w:t xml:space="preserve"> Na konci června byly v zásobnících 2 mld. </w:t>
      </w:r>
      <w:r w:rsidRPr="00C80364">
        <w:rPr>
          <w:spacing w:val="3"/>
          <w:shd w:val="clear" w:color="auto" w:fill="FFFFFF"/>
        </w:rPr>
        <w:t>m</w:t>
      </w:r>
      <w:r w:rsidRPr="00C80364">
        <w:rPr>
          <w:spacing w:val="3"/>
          <w:shd w:val="clear" w:color="auto" w:fill="FFFFFF"/>
          <w:vertAlign w:val="superscript"/>
        </w:rPr>
        <w:t>3</w:t>
      </w:r>
      <w:r>
        <w:rPr>
          <w:spacing w:val="3"/>
          <w:shd w:val="clear" w:color="auto" w:fill="FFFFFF"/>
          <w:vertAlign w:val="superscript"/>
        </w:rPr>
        <w:t xml:space="preserve"> </w:t>
      </w:r>
      <w:r>
        <w:t>plynu, což představuje 58,8 % z celkového stavu provozního zásob.</w:t>
      </w:r>
    </w:p>
    <w:p w14:paraId="47D3C8A2" w14:textId="77777777" w:rsidR="004B6A2B" w:rsidRPr="00C80364" w:rsidRDefault="004B6A2B" w:rsidP="004B6A2B">
      <w:pPr>
        <w:spacing w:before="0" w:after="160" w:line="259" w:lineRule="auto"/>
        <w:jc w:val="both"/>
      </w:pPr>
      <w:r>
        <w:rPr>
          <w:rFonts w:eastAsia="Times New Roman"/>
        </w:rPr>
        <w:t xml:space="preserve">Podrobnější informace naleznete ve </w:t>
      </w:r>
      <w:hyperlink r:id="rId14" w:history="1">
        <w:r w:rsidRPr="008514DF">
          <w:rPr>
            <w:rStyle w:val="Hypertextovodkaz"/>
            <w:rFonts w:eastAsia="Times New Roman"/>
          </w:rPr>
          <w:t>čtvrtletní zprávě ERÚ o provozu plynárenské soustavy</w:t>
        </w:r>
      </w:hyperlink>
      <w:r>
        <w:rPr>
          <w:rFonts w:eastAsia="Times New Roman"/>
        </w:rPr>
        <w:t>.</w:t>
      </w:r>
    </w:p>
    <w:p w14:paraId="7DB5E5B3" w14:textId="147672A4" w:rsidR="00F650C8" w:rsidRDefault="00DA6A32" w:rsidP="004B6A2B">
      <w:pPr>
        <w:widowControl w:val="0"/>
        <w:jc w:val="both"/>
      </w:pPr>
      <w:r>
        <w:t xml:space="preserve"> </w:t>
      </w:r>
    </w:p>
    <w:p w14:paraId="5047A88E" w14:textId="2FC36EE1" w:rsidR="004B6A2B" w:rsidRDefault="004B6A2B" w:rsidP="00DA6A32">
      <w:pPr>
        <w:pStyle w:val="Bezmezer"/>
      </w:pPr>
    </w:p>
    <w:p w14:paraId="6AEAF889" w14:textId="77777777" w:rsidR="004B6A2B" w:rsidRPr="004B6A2B" w:rsidRDefault="004B6A2B" w:rsidP="004B6A2B">
      <w:pPr>
        <w:rPr>
          <w:lang w:eastAsia="en-US"/>
        </w:rPr>
      </w:pPr>
    </w:p>
    <w:p w14:paraId="63B70883" w14:textId="77777777" w:rsidR="004B6A2B" w:rsidRPr="004B6A2B" w:rsidRDefault="004B6A2B" w:rsidP="004B6A2B">
      <w:pPr>
        <w:rPr>
          <w:lang w:eastAsia="en-US"/>
        </w:rPr>
      </w:pPr>
    </w:p>
    <w:p w14:paraId="2BFFE22D" w14:textId="77777777" w:rsidR="004B6A2B" w:rsidRPr="004B6A2B" w:rsidRDefault="004B6A2B" w:rsidP="004B6A2B">
      <w:pPr>
        <w:rPr>
          <w:lang w:eastAsia="en-US"/>
        </w:rPr>
      </w:pPr>
    </w:p>
    <w:p w14:paraId="6D39F078" w14:textId="77777777" w:rsidR="004B6A2B" w:rsidRPr="004B6A2B" w:rsidRDefault="004B6A2B" w:rsidP="004B6A2B">
      <w:pPr>
        <w:rPr>
          <w:lang w:eastAsia="en-US"/>
        </w:rPr>
      </w:pPr>
    </w:p>
    <w:p w14:paraId="261A1158" w14:textId="77777777" w:rsidR="004B6A2B" w:rsidRPr="004B6A2B" w:rsidRDefault="004B6A2B" w:rsidP="004B6A2B">
      <w:pPr>
        <w:rPr>
          <w:lang w:eastAsia="en-US"/>
        </w:rPr>
      </w:pPr>
    </w:p>
    <w:p w14:paraId="2463C9C4" w14:textId="77777777" w:rsidR="004B6A2B" w:rsidRPr="004B6A2B" w:rsidRDefault="004B6A2B" w:rsidP="004B6A2B">
      <w:pPr>
        <w:rPr>
          <w:lang w:eastAsia="en-US"/>
        </w:rPr>
      </w:pPr>
    </w:p>
    <w:p w14:paraId="7228E2B5" w14:textId="77777777" w:rsidR="004B6A2B" w:rsidRPr="004B6A2B" w:rsidRDefault="004B6A2B" w:rsidP="004B6A2B">
      <w:pPr>
        <w:rPr>
          <w:lang w:eastAsia="en-US"/>
        </w:rPr>
      </w:pPr>
    </w:p>
    <w:p w14:paraId="5D57D20E" w14:textId="77777777" w:rsidR="004B6A2B" w:rsidRPr="004B6A2B" w:rsidRDefault="004B6A2B" w:rsidP="004B6A2B">
      <w:pPr>
        <w:rPr>
          <w:lang w:eastAsia="en-US"/>
        </w:rPr>
      </w:pPr>
    </w:p>
    <w:p w14:paraId="78D81B9D" w14:textId="77777777" w:rsidR="004B6A2B" w:rsidRPr="004B6A2B" w:rsidRDefault="004B6A2B" w:rsidP="004B6A2B">
      <w:pPr>
        <w:rPr>
          <w:lang w:eastAsia="en-US"/>
        </w:rPr>
      </w:pPr>
    </w:p>
    <w:p w14:paraId="77B9000B" w14:textId="77777777" w:rsidR="004B6A2B" w:rsidRPr="004B6A2B" w:rsidRDefault="004B6A2B" w:rsidP="004B6A2B">
      <w:pPr>
        <w:rPr>
          <w:lang w:eastAsia="en-US"/>
        </w:rPr>
      </w:pPr>
    </w:p>
    <w:p w14:paraId="2EB981F7" w14:textId="77777777" w:rsidR="004B6A2B" w:rsidRPr="004B6A2B" w:rsidRDefault="004B6A2B" w:rsidP="004B6A2B">
      <w:pPr>
        <w:rPr>
          <w:lang w:eastAsia="en-US"/>
        </w:rPr>
      </w:pPr>
    </w:p>
    <w:p w14:paraId="45A967F2" w14:textId="77777777" w:rsidR="004B6A2B" w:rsidRPr="004B6A2B" w:rsidRDefault="004B6A2B" w:rsidP="004B6A2B">
      <w:pPr>
        <w:rPr>
          <w:lang w:eastAsia="en-US"/>
        </w:rPr>
      </w:pPr>
    </w:p>
    <w:p w14:paraId="607C1B62" w14:textId="77777777" w:rsidR="004B6A2B" w:rsidRPr="004B6A2B" w:rsidRDefault="004B6A2B" w:rsidP="004B6A2B">
      <w:pPr>
        <w:rPr>
          <w:lang w:eastAsia="en-US"/>
        </w:rPr>
      </w:pPr>
    </w:p>
    <w:p w14:paraId="106A5D83" w14:textId="77777777" w:rsidR="004B6A2B" w:rsidRPr="004B6A2B" w:rsidRDefault="004B6A2B" w:rsidP="004B6A2B">
      <w:pPr>
        <w:rPr>
          <w:lang w:eastAsia="en-US"/>
        </w:rPr>
      </w:pPr>
    </w:p>
    <w:p w14:paraId="0F61A64F" w14:textId="77777777" w:rsidR="004B6A2B" w:rsidRPr="004B6A2B" w:rsidRDefault="004B6A2B" w:rsidP="004B6A2B">
      <w:pPr>
        <w:rPr>
          <w:lang w:eastAsia="en-US"/>
        </w:rPr>
      </w:pPr>
    </w:p>
    <w:p w14:paraId="1CDE2615" w14:textId="77777777" w:rsidR="004B6A2B" w:rsidRPr="004B6A2B" w:rsidRDefault="004B6A2B" w:rsidP="004B6A2B">
      <w:pPr>
        <w:rPr>
          <w:lang w:eastAsia="en-US"/>
        </w:rPr>
      </w:pPr>
    </w:p>
    <w:p w14:paraId="52AD4F85" w14:textId="77777777" w:rsidR="004B6A2B" w:rsidRPr="004B6A2B" w:rsidRDefault="004B6A2B" w:rsidP="004B6A2B">
      <w:pPr>
        <w:rPr>
          <w:lang w:eastAsia="en-US"/>
        </w:rPr>
      </w:pPr>
    </w:p>
    <w:p w14:paraId="77818075" w14:textId="5DD084F8" w:rsidR="004B6A2B" w:rsidRDefault="004B6A2B" w:rsidP="004B6A2B">
      <w:pPr>
        <w:rPr>
          <w:lang w:eastAsia="en-US"/>
        </w:rPr>
      </w:pPr>
    </w:p>
    <w:p w14:paraId="238A0E43" w14:textId="05C2C6B5" w:rsidR="004B6A2B" w:rsidRDefault="004B6A2B" w:rsidP="004B6A2B">
      <w:pPr>
        <w:tabs>
          <w:tab w:val="left" w:pos="2300"/>
        </w:tabs>
        <w:rPr>
          <w:lang w:eastAsia="en-US"/>
        </w:rPr>
      </w:pPr>
      <w:r>
        <w:rPr>
          <w:lang w:eastAsia="en-US"/>
        </w:rPr>
        <w:tab/>
      </w:r>
    </w:p>
    <w:p w14:paraId="77A99203" w14:textId="77777777" w:rsidR="004B6A2B" w:rsidRPr="004B6A2B" w:rsidRDefault="004B6A2B" w:rsidP="004B6A2B">
      <w:pPr>
        <w:rPr>
          <w:lang w:eastAsia="en-US"/>
        </w:rPr>
      </w:pPr>
    </w:p>
    <w:p w14:paraId="7E3757CE" w14:textId="77777777" w:rsidR="004B6A2B" w:rsidRPr="004B6A2B" w:rsidRDefault="004B6A2B" w:rsidP="004B6A2B">
      <w:pPr>
        <w:rPr>
          <w:lang w:eastAsia="en-US"/>
        </w:rPr>
      </w:pPr>
    </w:p>
    <w:p w14:paraId="58739E13" w14:textId="77777777" w:rsidR="004B6A2B" w:rsidRPr="004B6A2B" w:rsidRDefault="004B6A2B" w:rsidP="004B6A2B">
      <w:pPr>
        <w:rPr>
          <w:lang w:eastAsia="en-US"/>
        </w:rPr>
      </w:pPr>
    </w:p>
    <w:p w14:paraId="760093D2" w14:textId="77777777" w:rsidR="004B6A2B" w:rsidRPr="004B6A2B" w:rsidRDefault="004B6A2B" w:rsidP="004B6A2B">
      <w:pPr>
        <w:rPr>
          <w:lang w:eastAsia="en-US"/>
        </w:rPr>
      </w:pPr>
    </w:p>
    <w:p w14:paraId="51F82EA1" w14:textId="77777777" w:rsidR="004B6A2B" w:rsidRPr="004B6A2B" w:rsidRDefault="004B6A2B" w:rsidP="004B6A2B">
      <w:pPr>
        <w:rPr>
          <w:lang w:eastAsia="en-US"/>
        </w:rPr>
      </w:pPr>
    </w:p>
    <w:p w14:paraId="5CE67324" w14:textId="77777777" w:rsidR="004B6A2B" w:rsidRPr="004B6A2B" w:rsidRDefault="004B6A2B" w:rsidP="004B6A2B">
      <w:pPr>
        <w:rPr>
          <w:lang w:eastAsia="en-US"/>
        </w:rPr>
      </w:pPr>
    </w:p>
    <w:p w14:paraId="1C4DC787" w14:textId="7A921C7F" w:rsidR="00C91760" w:rsidRPr="004B6A2B" w:rsidRDefault="00C91760" w:rsidP="004B6A2B">
      <w:pPr>
        <w:tabs>
          <w:tab w:val="left" w:pos="3770"/>
        </w:tabs>
        <w:rPr>
          <w:lang w:eastAsia="en-US"/>
        </w:rPr>
      </w:pPr>
    </w:p>
    <w:sectPr w:rsidR="00C91760" w:rsidRPr="004B6A2B" w:rsidSect="00B84FE2">
      <w:headerReference w:type="default" r:id="rId15"/>
      <w:footerReference w:type="default" r:id="rId16"/>
      <w:type w:val="continuous"/>
      <w:pgSz w:w="11906" w:h="16838" w:code="9"/>
      <w:pgMar w:top="851" w:right="851" w:bottom="567" w:left="851" w:header="0" w:footer="11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934F0" w14:textId="77777777" w:rsidR="00993DC3" w:rsidRDefault="00993DC3" w:rsidP="006928DE">
      <w:pPr>
        <w:spacing w:after="0" w:line="240" w:lineRule="auto"/>
      </w:pPr>
      <w:r>
        <w:separator/>
      </w:r>
    </w:p>
    <w:p w14:paraId="5270D1CC" w14:textId="77777777" w:rsidR="00993DC3" w:rsidRDefault="00993DC3"/>
  </w:endnote>
  <w:endnote w:type="continuationSeparator" w:id="0">
    <w:p w14:paraId="62D39041" w14:textId="77777777" w:rsidR="00993DC3" w:rsidRDefault="00993DC3" w:rsidP="006928DE">
      <w:pPr>
        <w:spacing w:after="0" w:line="240" w:lineRule="auto"/>
      </w:pPr>
      <w:r>
        <w:continuationSeparator/>
      </w:r>
    </w:p>
    <w:p w14:paraId="6951F47D" w14:textId="77777777" w:rsidR="00993DC3" w:rsidRDefault="00993D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iro">
    <w:altName w:val="Calibri"/>
    <w:charset w:val="EE"/>
    <w:family w:val="auto"/>
    <w:pitch w:val="variable"/>
    <w:sig w:usb0="A00020AF" w:usb1="9000204B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0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445"/>
      <w:gridCol w:w="4026"/>
      <w:gridCol w:w="1438"/>
      <w:gridCol w:w="1726"/>
      <w:gridCol w:w="1579"/>
    </w:tblGrid>
    <w:tr w:rsidR="00B84FE2" w:rsidRPr="003F04A5" w14:paraId="583CE8E5" w14:textId="77777777" w:rsidTr="000251E3">
      <w:trPr>
        <w:cantSplit/>
        <w:trHeight w:hRule="exact" w:val="238"/>
      </w:trPr>
      <w:tc>
        <w:tcPr>
          <w:tcW w:w="707" w:type="pct"/>
          <w:vMerge w:val="restart"/>
        </w:tcPr>
        <w:p w14:paraId="0AC0E2D1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b/>
              <w:noProof/>
              <w:color w:val="23315F"/>
              <w:sz w:val="17"/>
              <w:szCs w:val="17"/>
            </w:rPr>
            <w:drawing>
              <wp:anchor distT="0" distB="0" distL="114300" distR="114300" simplePos="0" relativeHeight="251703808" behindDoc="1" locked="1" layoutInCell="1" allowOverlap="0" wp14:anchorId="45C2F6D2" wp14:editId="6383AF4D">
                <wp:simplePos x="0" y="0"/>
                <wp:positionH relativeFrom="margin">
                  <wp:posOffset>-24765</wp:posOffset>
                </wp:positionH>
                <wp:positionV relativeFrom="margin">
                  <wp:posOffset>0</wp:posOffset>
                </wp:positionV>
                <wp:extent cx="902970" cy="902970"/>
                <wp:effectExtent l="0" t="0" r="0" b="0"/>
                <wp:wrapSquare wrapText="bothSides"/>
                <wp:docPr id="92" name="Obrázek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902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71" w:type="pct"/>
          <w:vAlign w:val="center"/>
        </w:tcPr>
        <w:p w14:paraId="24CA1FA1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23315F"/>
              <w:sz w:val="17"/>
              <w:szCs w:val="17"/>
            </w:rPr>
            <w:t>Energetický regulační úřad</w:t>
          </w:r>
        </w:p>
      </w:tc>
      <w:tc>
        <w:tcPr>
          <w:tcW w:w="704" w:type="pct"/>
          <w:vAlign w:val="center"/>
        </w:tcPr>
        <w:p w14:paraId="792C23B3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Tiskoví mluvčí:</w:t>
          </w:r>
        </w:p>
      </w:tc>
      <w:tc>
        <w:tcPr>
          <w:tcW w:w="845" w:type="pct"/>
          <w:vAlign w:val="center"/>
        </w:tcPr>
        <w:p w14:paraId="2D627D6B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23315F"/>
              <w:sz w:val="17"/>
              <w:szCs w:val="17"/>
            </w:rPr>
            <w:t>Michal Kebort</w:t>
          </w:r>
        </w:p>
      </w:tc>
      <w:tc>
        <w:tcPr>
          <w:tcW w:w="773" w:type="pct"/>
          <w:vAlign w:val="center"/>
        </w:tcPr>
        <w:p w14:paraId="36724139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23315F"/>
              <w:sz w:val="17"/>
              <w:szCs w:val="17"/>
            </w:rPr>
            <w:t>Jan Hamrník</w:t>
          </w:r>
        </w:p>
      </w:tc>
    </w:tr>
    <w:tr w:rsidR="00B84FE2" w:rsidRPr="003F04A5" w14:paraId="0B1AFC1B" w14:textId="77777777" w:rsidTr="000251E3">
      <w:trPr>
        <w:cantSplit/>
        <w:trHeight w:hRule="exact" w:val="238"/>
      </w:trPr>
      <w:tc>
        <w:tcPr>
          <w:tcW w:w="707" w:type="pct"/>
          <w:vMerge/>
        </w:tcPr>
        <w:p w14:paraId="33BF7415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52D509C4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Masarykovo náměstí 91/5, 586 01 Jihlava</w:t>
          </w:r>
        </w:p>
      </w:tc>
      <w:tc>
        <w:tcPr>
          <w:tcW w:w="704" w:type="pct"/>
          <w:vMerge w:val="restart"/>
          <w:vAlign w:val="center"/>
        </w:tcPr>
        <w:p w14:paraId="51E490A0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845" w:type="pct"/>
          <w:vAlign w:val="center"/>
        </w:tcPr>
        <w:p w14:paraId="488D1D98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+420 724 060 790</w:t>
          </w:r>
        </w:p>
      </w:tc>
      <w:tc>
        <w:tcPr>
          <w:tcW w:w="773" w:type="pct"/>
          <w:vAlign w:val="center"/>
        </w:tcPr>
        <w:p w14:paraId="68B53765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+420 724 454 791</w:t>
          </w:r>
        </w:p>
      </w:tc>
    </w:tr>
    <w:tr w:rsidR="00B84FE2" w:rsidRPr="003F04A5" w14:paraId="79E8EF33" w14:textId="77777777" w:rsidTr="000251E3">
      <w:trPr>
        <w:cantSplit/>
        <w:trHeight w:hRule="exact" w:val="238"/>
      </w:trPr>
      <w:tc>
        <w:tcPr>
          <w:tcW w:w="707" w:type="pct"/>
          <w:vMerge/>
        </w:tcPr>
        <w:p w14:paraId="25464631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13FF89FD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+420 564 578 666</w:t>
          </w:r>
        </w:p>
      </w:tc>
      <w:tc>
        <w:tcPr>
          <w:tcW w:w="704" w:type="pct"/>
          <w:vMerge/>
          <w:vAlign w:val="center"/>
        </w:tcPr>
        <w:p w14:paraId="4D5D6DA0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1618" w:type="pct"/>
          <w:gridSpan w:val="2"/>
          <w:vAlign w:val="center"/>
        </w:tcPr>
        <w:p w14:paraId="14436E3E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</w:p>
      </w:tc>
    </w:tr>
    <w:tr w:rsidR="00B84FE2" w:rsidRPr="003F04A5" w14:paraId="00842971" w14:textId="77777777" w:rsidTr="000251E3">
      <w:trPr>
        <w:cantSplit/>
        <w:trHeight w:hRule="exact" w:val="238"/>
      </w:trPr>
      <w:tc>
        <w:tcPr>
          <w:tcW w:w="707" w:type="pct"/>
          <w:vMerge/>
        </w:tcPr>
        <w:p w14:paraId="782D7DF2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0445A806" w14:textId="77777777" w:rsidR="00B84FE2" w:rsidRPr="003F04A5" w:rsidRDefault="00993DC3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hyperlink r:id="rId2" w:history="1">
            <w:r w:rsidR="00B84FE2" w:rsidRPr="003F04A5">
              <w:rPr>
                <w:rStyle w:val="Hypertextovodkaz"/>
                <w:rFonts w:ascii="Cairo" w:hAnsi="Cairo" w:cs="Cairo"/>
                <w:b/>
                <w:color w:val="auto"/>
                <w:sz w:val="17"/>
                <w:szCs w:val="17"/>
                <w:u w:val="none"/>
              </w:rPr>
              <w:t>podatelna@eru.gov.cz</w:t>
            </w:r>
          </w:hyperlink>
        </w:p>
      </w:tc>
      <w:tc>
        <w:tcPr>
          <w:tcW w:w="704" w:type="pct"/>
          <w:vMerge/>
          <w:vAlign w:val="center"/>
        </w:tcPr>
        <w:p w14:paraId="7F4BB270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1618" w:type="pct"/>
          <w:gridSpan w:val="2"/>
          <w:vAlign w:val="center"/>
        </w:tcPr>
        <w:p w14:paraId="16095EBD" w14:textId="77777777" w:rsidR="00B84FE2" w:rsidRPr="003F04A5" w:rsidRDefault="00993DC3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  <w:hyperlink r:id="rId3" w:history="1">
            <w:r w:rsidR="00B84FE2" w:rsidRPr="003F04A5">
              <w:rPr>
                <w:rStyle w:val="Hypertextovodkaz"/>
                <w:rFonts w:ascii="Cairo" w:hAnsi="Cairo" w:cs="Cairo"/>
                <w:b/>
                <w:color w:val="auto"/>
                <w:sz w:val="17"/>
                <w:szCs w:val="17"/>
                <w:u w:val="none"/>
              </w:rPr>
              <w:t>tiskove@eru.gov.cz</w:t>
            </w:r>
          </w:hyperlink>
        </w:p>
      </w:tc>
    </w:tr>
    <w:tr w:rsidR="00B84FE2" w:rsidRPr="003F04A5" w14:paraId="04A345EC" w14:textId="77777777" w:rsidTr="000251E3">
      <w:trPr>
        <w:cantSplit/>
        <w:trHeight w:hRule="exact" w:val="238"/>
      </w:trPr>
      <w:tc>
        <w:tcPr>
          <w:tcW w:w="707" w:type="pct"/>
          <w:vMerge/>
        </w:tcPr>
        <w:p w14:paraId="6936910A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6D67274A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ID datové schránky ERÚ eeuaau7</w:t>
          </w:r>
        </w:p>
      </w:tc>
      <w:tc>
        <w:tcPr>
          <w:tcW w:w="704" w:type="pct"/>
          <w:vMerge/>
          <w:vAlign w:val="center"/>
        </w:tcPr>
        <w:p w14:paraId="295B3473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1618" w:type="pct"/>
          <w:gridSpan w:val="2"/>
          <w:vAlign w:val="center"/>
        </w:tcPr>
        <w:p w14:paraId="2AF7EF47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dislokované pracoviště ERÚ v</w:t>
          </w:r>
          <w:r>
            <w:rPr>
              <w:rFonts w:ascii="Cairo" w:hAnsi="Cairo" w:cs="Cairo"/>
              <w:b/>
              <w:color w:val="auto"/>
              <w:sz w:val="17"/>
              <w:szCs w:val="17"/>
            </w:rPr>
            <w:t> </w:t>
          </w: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Praze</w:t>
          </w:r>
        </w:p>
      </w:tc>
    </w:tr>
    <w:tr w:rsidR="00B84FE2" w:rsidRPr="003F04A5" w14:paraId="16C1335D" w14:textId="77777777" w:rsidTr="000251E3">
      <w:trPr>
        <w:cantSplit/>
        <w:trHeight w:hRule="exact" w:val="238"/>
      </w:trPr>
      <w:tc>
        <w:tcPr>
          <w:tcW w:w="707" w:type="pct"/>
          <w:vMerge/>
        </w:tcPr>
        <w:p w14:paraId="06BE1B05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461F4FB4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23315F"/>
              <w:sz w:val="17"/>
              <w:szCs w:val="17"/>
            </w:rPr>
            <w:t>eru.gov.cz</w:t>
          </w:r>
        </w:p>
      </w:tc>
      <w:tc>
        <w:tcPr>
          <w:tcW w:w="704" w:type="pct"/>
          <w:vMerge/>
          <w:vAlign w:val="center"/>
        </w:tcPr>
        <w:p w14:paraId="3A4191C5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1618" w:type="pct"/>
          <w:gridSpan w:val="2"/>
          <w:vAlign w:val="center"/>
        </w:tcPr>
        <w:p w14:paraId="00820332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56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Jankovcova 1566/</w:t>
          </w:r>
          <w:proofErr w:type="gramStart"/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2B</w:t>
          </w:r>
          <w:proofErr w:type="gramEnd"/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, 170 00 Praha 7</w:t>
          </w:r>
        </w:p>
      </w:tc>
    </w:tr>
  </w:tbl>
  <w:p w14:paraId="0CDC31FC" w14:textId="77777777" w:rsidR="00B84FE2" w:rsidRPr="003F04A5" w:rsidRDefault="00B84FE2" w:rsidP="003F04A5">
    <w:pPr>
      <w:pStyle w:val="Zpat"/>
      <w:tabs>
        <w:tab w:val="clear" w:pos="567"/>
        <w:tab w:val="clear" w:pos="4536"/>
        <w:tab w:val="clear" w:pos="9072"/>
        <w:tab w:val="clear" w:pos="10206"/>
        <w:tab w:val="left" w:pos="1560"/>
        <w:tab w:val="left" w:pos="5670"/>
        <w:tab w:val="left" w:pos="7088"/>
        <w:tab w:val="left" w:pos="8789"/>
      </w:tabs>
      <w:spacing w:before="0" w:line="192" w:lineRule="auto"/>
      <w:rPr>
        <w:rFonts w:ascii="Cairo" w:hAnsi="Cairo" w:cs="Cairo"/>
        <w:b/>
        <w:color w:val="23315F"/>
        <w:sz w:val="17"/>
        <w:szCs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0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445"/>
      <w:gridCol w:w="4026"/>
      <w:gridCol w:w="1438"/>
      <w:gridCol w:w="1726"/>
      <w:gridCol w:w="1579"/>
    </w:tblGrid>
    <w:tr w:rsidR="004B6A2B" w:rsidRPr="003F04A5" w14:paraId="1364B592" w14:textId="77777777" w:rsidTr="007637D4">
      <w:trPr>
        <w:cantSplit/>
        <w:trHeight w:hRule="exact" w:val="238"/>
      </w:trPr>
      <w:tc>
        <w:tcPr>
          <w:tcW w:w="707" w:type="pct"/>
          <w:vMerge w:val="restart"/>
        </w:tcPr>
        <w:p w14:paraId="7CD21E7E" w14:textId="77777777" w:rsidR="004B6A2B" w:rsidRPr="003F04A5" w:rsidRDefault="004B6A2B" w:rsidP="004B6A2B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b/>
              <w:noProof/>
              <w:color w:val="23315F"/>
              <w:sz w:val="17"/>
              <w:szCs w:val="17"/>
            </w:rPr>
            <w:drawing>
              <wp:anchor distT="0" distB="0" distL="114300" distR="114300" simplePos="0" relativeHeight="251705856" behindDoc="1" locked="1" layoutInCell="1" allowOverlap="0" wp14:anchorId="5E3593DA" wp14:editId="48760283">
                <wp:simplePos x="0" y="0"/>
                <wp:positionH relativeFrom="margin">
                  <wp:posOffset>-24765</wp:posOffset>
                </wp:positionH>
                <wp:positionV relativeFrom="margin">
                  <wp:posOffset>0</wp:posOffset>
                </wp:positionV>
                <wp:extent cx="902970" cy="902970"/>
                <wp:effectExtent l="0" t="0" r="0" b="0"/>
                <wp:wrapSquare wrapText="bothSides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902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71" w:type="pct"/>
          <w:vAlign w:val="center"/>
        </w:tcPr>
        <w:p w14:paraId="23E8D3AB" w14:textId="77777777" w:rsidR="004B6A2B" w:rsidRPr="003F04A5" w:rsidRDefault="004B6A2B" w:rsidP="004B6A2B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23315F"/>
              <w:sz w:val="17"/>
              <w:szCs w:val="17"/>
            </w:rPr>
            <w:t>Energetický regulační úřad</w:t>
          </w:r>
        </w:p>
      </w:tc>
      <w:tc>
        <w:tcPr>
          <w:tcW w:w="704" w:type="pct"/>
          <w:vAlign w:val="center"/>
        </w:tcPr>
        <w:p w14:paraId="360CFF65" w14:textId="77777777" w:rsidR="004B6A2B" w:rsidRPr="003F04A5" w:rsidRDefault="004B6A2B" w:rsidP="004B6A2B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Tiskoví mluvčí:</w:t>
          </w:r>
        </w:p>
      </w:tc>
      <w:tc>
        <w:tcPr>
          <w:tcW w:w="845" w:type="pct"/>
          <w:vAlign w:val="center"/>
        </w:tcPr>
        <w:p w14:paraId="2BAE88FB" w14:textId="77777777" w:rsidR="004B6A2B" w:rsidRPr="003F04A5" w:rsidRDefault="004B6A2B" w:rsidP="004B6A2B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23315F"/>
              <w:sz w:val="17"/>
              <w:szCs w:val="17"/>
            </w:rPr>
            <w:t>Michal Kebort</w:t>
          </w:r>
        </w:p>
      </w:tc>
      <w:tc>
        <w:tcPr>
          <w:tcW w:w="773" w:type="pct"/>
          <w:vAlign w:val="center"/>
        </w:tcPr>
        <w:p w14:paraId="61C9BD01" w14:textId="77777777" w:rsidR="004B6A2B" w:rsidRPr="003F04A5" w:rsidRDefault="004B6A2B" w:rsidP="004B6A2B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23315F"/>
              <w:sz w:val="17"/>
              <w:szCs w:val="17"/>
            </w:rPr>
            <w:t>Jan Hamrník</w:t>
          </w:r>
        </w:p>
      </w:tc>
    </w:tr>
    <w:tr w:rsidR="004B6A2B" w:rsidRPr="003F04A5" w14:paraId="0685A7D0" w14:textId="77777777" w:rsidTr="007637D4">
      <w:trPr>
        <w:cantSplit/>
        <w:trHeight w:hRule="exact" w:val="238"/>
      </w:trPr>
      <w:tc>
        <w:tcPr>
          <w:tcW w:w="707" w:type="pct"/>
          <w:vMerge/>
        </w:tcPr>
        <w:p w14:paraId="19964C3A" w14:textId="77777777" w:rsidR="004B6A2B" w:rsidRPr="003F04A5" w:rsidRDefault="004B6A2B" w:rsidP="004B6A2B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35F70AAA" w14:textId="77777777" w:rsidR="004B6A2B" w:rsidRPr="003F04A5" w:rsidRDefault="004B6A2B" w:rsidP="004B6A2B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Masarykovo náměstí 91/5, 586 01 Jihlava</w:t>
          </w:r>
        </w:p>
      </w:tc>
      <w:tc>
        <w:tcPr>
          <w:tcW w:w="704" w:type="pct"/>
          <w:vMerge w:val="restart"/>
          <w:vAlign w:val="center"/>
        </w:tcPr>
        <w:p w14:paraId="6160DB12" w14:textId="77777777" w:rsidR="004B6A2B" w:rsidRPr="003F04A5" w:rsidRDefault="004B6A2B" w:rsidP="004B6A2B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845" w:type="pct"/>
          <w:vAlign w:val="center"/>
        </w:tcPr>
        <w:p w14:paraId="5BC12E09" w14:textId="77777777" w:rsidR="004B6A2B" w:rsidRPr="003F04A5" w:rsidRDefault="004B6A2B" w:rsidP="004B6A2B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+420 724 060 790</w:t>
          </w:r>
        </w:p>
      </w:tc>
      <w:tc>
        <w:tcPr>
          <w:tcW w:w="773" w:type="pct"/>
          <w:vAlign w:val="center"/>
        </w:tcPr>
        <w:p w14:paraId="1D0FE9B6" w14:textId="77777777" w:rsidR="004B6A2B" w:rsidRPr="003F04A5" w:rsidRDefault="004B6A2B" w:rsidP="004B6A2B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+420 724 454 791</w:t>
          </w:r>
        </w:p>
      </w:tc>
    </w:tr>
    <w:tr w:rsidR="004B6A2B" w:rsidRPr="003F04A5" w14:paraId="33F98D37" w14:textId="77777777" w:rsidTr="007637D4">
      <w:trPr>
        <w:cantSplit/>
        <w:trHeight w:hRule="exact" w:val="238"/>
      </w:trPr>
      <w:tc>
        <w:tcPr>
          <w:tcW w:w="707" w:type="pct"/>
          <w:vMerge/>
        </w:tcPr>
        <w:p w14:paraId="50838EFC" w14:textId="77777777" w:rsidR="004B6A2B" w:rsidRPr="003F04A5" w:rsidRDefault="004B6A2B" w:rsidP="004B6A2B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62112AC4" w14:textId="77777777" w:rsidR="004B6A2B" w:rsidRPr="003F04A5" w:rsidRDefault="004B6A2B" w:rsidP="004B6A2B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+420 564 578 666</w:t>
          </w:r>
        </w:p>
      </w:tc>
      <w:tc>
        <w:tcPr>
          <w:tcW w:w="704" w:type="pct"/>
          <w:vMerge/>
          <w:vAlign w:val="center"/>
        </w:tcPr>
        <w:p w14:paraId="47A29D82" w14:textId="77777777" w:rsidR="004B6A2B" w:rsidRPr="003F04A5" w:rsidRDefault="004B6A2B" w:rsidP="004B6A2B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1618" w:type="pct"/>
          <w:gridSpan w:val="2"/>
          <w:vAlign w:val="center"/>
        </w:tcPr>
        <w:p w14:paraId="44816B2E" w14:textId="77777777" w:rsidR="004B6A2B" w:rsidRPr="003F04A5" w:rsidRDefault="004B6A2B" w:rsidP="004B6A2B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</w:p>
      </w:tc>
    </w:tr>
    <w:tr w:rsidR="004B6A2B" w:rsidRPr="003F04A5" w14:paraId="06E762F1" w14:textId="77777777" w:rsidTr="007637D4">
      <w:trPr>
        <w:cantSplit/>
        <w:trHeight w:hRule="exact" w:val="238"/>
      </w:trPr>
      <w:tc>
        <w:tcPr>
          <w:tcW w:w="707" w:type="pct"/>
          <w:vMerge/>
        </w:tcPr>
        <w:p w14:paraId="07AB5817" w14:textId="77777777" w:rsidR="004B6A2B" w:rsidRPr="003F04A5" w:rsidRDefault="004B6A2B" w:rsidP="004B6A2B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535F2D6A" w14:textId="77777777" w:rsidR="004B6A2B" w:rsidRPr="003F04A5" w:rsidRDefault="00993DC3" w:rsidP="004B6A2B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hyperlink r:id="rId2" w:history="1">
            <w:r w:rsidR="004B6A2B" w:rsidRPr="003F04A5">
              <w:rPr>
                <w:rStyle w:val="Hypertextovodkaz"/>
                <w:rFonts w:ascii="Cairo" w:hAnsi="Cairo" w:cs="Cairo"/>
                <w:b/>
                <w:color w:val="auto"/>
                <w:sz w:val="17"/>
                <w:szCs w:val="17"/>
                <w:u w:val="none"/>
              </w:rPr>
              <w:t>podatelna@eru.gov.cz</w:t>
            </w:r>
          </w:hyperlink>
        </w:p>
      </w:tc>
      <w:tc>
        <w:tcPr>
          <w:tcW w:w="704" w:type="pct"/>
          <w:vMerge/>
          <w:vAlign w:val="center"/>
        </w:tcPr>
        <w:p w14:paraId="055E2B28" w14:textId="77777777" w:rsidR="004B6A2B" w:rsidRPr="003F04A5" w:rsidRDefault="004B6A2B" w:rsidP="004B6A2B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1618" w:type="pct"/>
          <w:gridSpan w:val="2"/>
          <w:vAlign w:val="center"/>
        </w:tcPr>
        <w:p w14:paraId="08AA4360" w14:textId="77777777" w:rsidR="004B6A2B" w:rsidRPr="003F04A5" w:rsidRDefault="00993DC3" w:rsidP="004B6A2B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  <w:hyperlink r:id="rId3" w:history="1">
            <w:r w:rsidR="004B6A2B" w:rsidRPr="003F04A5">
              <w:rPr>
                <w:rStyle w:val="Hypertextovodkaz"/>
                <w:rFonts w:ascii="Cairo" w:hAnsi="Cairo" w:cs="Cairo"/>
                <w:b/>
                <w:color w:val="auto"/>
                <w:sz w:val="17"/>
                <w:szCs w:val="17"/>
                <w:u w:val="none"/>
              </w:rPr>
              <w:t>tiskove@eru.gov.cz</w:t>
            </w:r>
          </w:hyperlink>
        </w:p>
      </w:tc>
    </w:tr>
    <w:tr w:rsidR="004B6A2B" w:rsidRPr="003F04A5" w14:paraId="701CC91C" w14:textId="77777777" w:rsidTr="007637D4">
      <w:trPr>
        <w:cantSplit/>
        <w:trHeight w:hRule="exact" w:val="238"/>
      </w:trPr>
      <w:tc>
        <w:tcPr>
          <w:tcW w:w="707" w:type="pct"/>
          <w:vMerge/>
        </w:tcPr>
        <w:p w14:paraId="75CB5957" w14:textId="77777777" w:rsidR="004B6A2B" w:rsidRPr="003F04A5" w:rsidRDefault="004B6A2B" w:rsidP="004B6A2B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152F5BBD" w14:textId="77777777" w:rsidR="004B6A2B" w:rsidRPr="003F04A5" w:rsidRDefault="004B6A2B" w:rsidP="004B6A2B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ID datové schránky ERÚ eeuaau7</w:t>
          </w:r>
        </w:p>
      </w:tc>
      <w:tc>
        <w:tcPr>
          <w:tcW w:w="704" w:type="pct"/>
          <w:vMerge/>
          <w:vAlign w:val="center"/>
        </w:tcPr>
        <w:p w14:paraId="54DF2253" w14:textId="77777777" w:rsidR="004B6A2B" w:rsidRPr="003F04A5" w:rsidRDefault="004B6A2B" w:rsidP="004B6A2B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1618" w:type="pct"/>
          <w:gridSpan w:val="2"/>
          <w:vAlign w:val="center"/>
        </w:tcPr>
        <w:p w14:paraId="0F349AA1" w14:textId="77777777" w:rsidR="004B6A2B" w:rsidRPr="003F04A5" w:rsidRDefault="004B6A2B" w:rsidP="004B6A2B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dislokované pracoviště ERÚ v</w:t>
          </w:r>
          <w:r>
            <w:rPr>
              <w:rFonts w:ascii="Cairo" w:hAnsi="Cairo" w:cs="Cairo"/>
              <w:b/>
              <w:color w:val="auto"/>
              <w:sz w:val="17"/>
              <w:szCs w:val="17"/>
            </w:rPr>
            <w:t> </w:t>
          </w: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Praze</w:t>
          </w:r>
        </w:p>
      </w:tc>
    </w:tr>
    <w:tr w:rsidR="004B6A2B" w:rsidRPr="003F04A5" w14:paraId="6F0998BE" w14:textId="77777777" w:rsidTr="007637D4">
      <w:trPr>
        <w:cantSplit/>
        <w:trHeight w:hRule="exact" w:val="238"/>
      </w:trPr>
      <w:tc>
        <w:tcPr>
          <w:tcW w:w="707" w:type="pct"/>
          <w:vMerge/>
        </w:tcPr>
        <w:p w14:paraId="1B5C20F9" w14:textId="77777777" w:rsidR="004B6A2B" w:rsidRPr="003F04A5" w:rsidRDefault="004B6A2B" w:rsidP="004B6A2B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3869B637" w14:textId="77777777" w:rsidR="004B6A2B" w:rsidRPr="003F04A5" w:rsidRDefault="004B6A2B" w:rsidP="004B6A2B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23315F"/>
              <w:sz w:val="17"/>
              <w:szCs w:val="17"/>
            </w:rPr>
            <w:t>eru.gov.cz</w:t>
          </w:r>
        </w:p>
      </w:tc>
      <w:tc>
        <w:tcPr>
          <w:tcW w:w="704" w:type="pct"/>
          <w:vMerge/>
          <w:vAlign w:val="center"/>
        </w:tcPr>
        <w:p w14:paraId="4A8039F1" w14:textId="77777777" w:rsidR="004B6A2B" w:rsidRPr="003F04A5" w:rsidRDefault="004B6A2B" w:rsidP="004B6A2B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1618" w:type="pct"/>
          <w:gridSpan w:val="2"/>
          <w:vAlign w:val="center"/>
        </w:tcPr>
        <w:p w14:paraId="343BA3D9" w14:textId="77777777" w:rsidR="004B6A2B" w:rsidRPr="003F04A5" w:rsidRDefault="004B6A2B" w:rsidP="004B6A2B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56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Jankovcova 1566/</w:t>
          </w:r>
          <w:proofErr w:type="gramStart"/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2B</w:t>
          </w:r>
          <w:proofErr w:type="gramEnd"/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, 170 00 Praha 7</w:t>
          </w:r>
        </w:p>
      </w:tc>
    </w:tr>
  </w:tbl>
  <w:p w14:paraId="4BEDF277" w14:textId="77777777" w:rsidR="00B84FE2" w:rsidRDefault="00B84FE2" w:rsidP="00B84FE2">
    <w:pPr>
      <w:pStyle w:val="Zpat"/>
    </w:pPr>
  </w:p>
  <w:p w14:paraId="027B8C7C" w14:textId="77777777" w:rsidR="00B84FE2" w:rsidRPr="00B84FE2" w:rsidRDefault="00B84FE2" w:rsidP="00B84F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7CEE8" w14:textId="77777777" w:rsidR="00993DC3" w:rsidRDefault="00993DC3" w:rsidP="006928DE">
      <w:pPr>
        <w:spacing w:after="0" w:line="240" w:lineRule="auto"/>
      </w:pPr>
      <w:r>
        <w:separator/>
      </w:r>
    </w:p>
    <w:p w14:paraId="4589564C" w14:textId="77777777" w:rsidR="00993DC3" w:rsidRDefault="00993DC3"/>
  </w:footnote>
  <w:footnote w:type="continuationSeparator" w:id="0">
    <w:p w14:paraId="3623FBBB" w14:textId="77777777" w:rsidR="00993DC3" w:rsidRDefault="00993DC3" w:rsidP="006928DE">
      <w:pPr>
        <w:spacing w:after="0" w:line="240" w:lineRule="auto"/>
      </w:pPr>
      <w:r>
        <w:continuationSeparator/>
      </w:r>
    </w:p>
    <w:p w14:paraId="1D7D0782" w14:textId="77777777" w:rsidR="00993DC3" w:rsidRDefault="00993DC3"/>
  </w:footnote>
  <w:footnote w:id="1">
    <w:p w14:paraId="22C4D6C7" w14:textId="77777777" w:rsidR="004B6A2B" w:rsidRPr="00011983" w:rsidRDefault="004B6A2B" w:rsidP="004B6A2B">
      <w:pPr>
        <w:pStyle w:val="Textpoznpodarou"/>
        <w:jc w:val="both"/>
      </w:pPr>
      <w:r w:rsidRPr="00011983">
        <w:rPr>
          <w:rStyle w:val="Znakapoznpodarou"/>
        </w:rPr>
        <w:footnoteRef/>
      </w:r>
      <w:r w:rsidRPr="00011983">
        <w:t xml:space="preserve"> </w:t>
      </w:r>
      <w:r>
        <w:t xml:space="preserve">Netto spotřeba nezahrnuje </w:t>
      </w:r>
      <w:r w:rsidRPr="00011983">
        <w:t>vlastní spotřebu na výrobu elektřiny, ztráty a spotřebu elektřiny na přečerpávání. Také v případě výroby jsou uváděné hodnoty netto, bez technologické vlastní spotřeby elektřiny a ztrát vzniklých při výrobě.</w:t>
      </w:r>
    </w:p>
    <w:p w14:paraId="747067A8" w14:textId="77777777" w:rsidR="004B6A2B" w:rsidRPr="00011983" w:rsidRDefault="004B6A2B" w:rsidP="004B6A2B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F2D69" w14:textId="77777777" w:rsidR="00B84FE2" w:rsidRDefault="00B84FE2" w:rsidP="00BF757E">
    <w:pPr>
      <w:pStyle w:val="Zhlav"/>
      <w:tabs>
        <w:tab w:val="clear" w:pos="567"/>
        <w:tab w:val="clear" w:pos="4536"/>
        <w:tab w:val="clear" w:pos="9072"/>
        <w:tab w:val="clear" w:pos="10206"/>
      </w:tabs>
    </w:pPr>
    <w:r>
      <w:rPr>
        <w:noProof/>
      </w:rPr>
      <w:drawing>
        <wp:anchor distT="0" distB="0" distL="114300" distR="114300" simplePos="0" relativeHeight="251701760" behindDoc="0" locked="0" layoutInCell="1" allowOverlap="1" wp14:anchorId="49EEBDE4" wp14:editId="66F7A6B2">
          <wp:simplePos x="0" y="0"/>
          <wp:positionH relativeFrom="page">
            <wp:posOffset>540385</wp:posOffset>
          </wp:positionH>
          <wp:positionV relativeFrom="page">
            <wp:posOffset>360045</wp:posOffset>
          </wp:positionV>
          <wp:extent cx="1800000" cy="597600"/>
          <wp:effectExtent l="0" t="0" r="0" b="0"/>
          <wp:wrapNone/>
          <wp:docPr id="91" name="Obrázek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RU_logo_celé_bez ochranne zo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0095E" w14:textId="77777777" w:rsidR="002C42C1" w:rsidRDefault="002C42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.5pt;height:6pt" o:bullet="t">
        <v:imagedata r:id="rId1" o:title="Datový zdroj 256"/>
      </v:shape>
    </w:pict>
  </w:numPicBullet>
  <w:abstractNum w:abstractNumId="0" w15:restartNumberingAfterBreak="0">
    <w:nsid w:val="0D2A4381"/>
    <w:multiLevelType w:val="hybridMultilevel"/>
    <w:tmpl w:val="5942AA94"/>
    <w:lvl w:ilvl="0" w:tplc="023406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53D86"/>
    <w:multiLevelType w:val="hybridMultilevel"/>
    <w:tmpl w:val="3C201F88"/>
    <w:lvl w:ilvl="0" w:tplc="1DAE11F8">
      <w:start w:val="1"/>
      <w:numFmt w:val="bullet"/>
      <w:pStyle w:val="Odrkypky"/>
      <w:lvlText w:val=""/>
      <w:lvlPicBulletId w:val="0"/>
      <w:lvlJc w:val="left"/>
      <w:pPr>
        <w:ind w:left="3193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3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953" w:hanging="360"/>
      </w:pPr>
      <w:rPr>
        <w:rFonts w:ascii="Wingdings" w:hAnsi="Wingdings" w:hint="default"/>
      </w:rPr>
    </w:lvl>
  </w:abstractNum>
  <w:abstractNum w:abstractNumId="2" w15:restartNumberingAfterBreak="0">
    <w:nsid w:val="23DA0F17"/>
    <w:multiLevelType w:val="multilevel"/>
    <w:tmpl w:val="381AC3E8"/>
    <w:lvl w:ilvl="0">
      <w:start w:val="1"/>
      <w:numFmt w:val="decimal"/>
      <w:lvlText w:val="%1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olor w:val="23315F" w:themeColor="text2"/>
        <w:sz w:val="3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olor w:val="23315F" w:themeColor="text2"/>
        <w:sz w:val="28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olor w:val="23315F" w:themeColor="accent1"/>
        <w:sz w:val="24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4996453E"/>
    <w:multiLevelType w:val="multilevel"/>
    <w:tmpl w:val="3C201F88"/>
    <w:lvl w:ilvl="0">
      <w:start w:val="1"/>
      <w:numFmt w:val="bullet"/>
      <w:lvlText w:val=""/>
      <w:lvlPicBulletId w:val="0"/>
      <w:lvlJc w:val="left"/>
      <w:pPr>
        <w:ind w:left="319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5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2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53" w:hanging="360"/>
      </w:pPr>
      <w:rPr>
        <w:rFonts w:ascii="Wingdings" w:hAnsi="Wingdings" w:hint="default"/>
      </w:rPr>
    </w:lvl>
  </w:abstractNum>
  <w:abstractNum w:abstractNumId="4" w15:restartNumberingAfterBreak="0">
    <w:nsid w:val="4B1E03B6"/>
    <w:multiLevelType w:val="hybridMultilevel"/>
    <w:tmpl w:val="591E4812"/>
    <w:lvl w:ilvl="0" w:tplc="BACA587E">
      <w:start w:val="62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27924"/>
    <w:multiLevelType w:val="hybridMultilevel"/>
    <w:tmpl w:val="6C9AADA4"/>
    <w:lvl w:ilvl="0" w:tplc="4C2CB7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F1E8C"/>
    <w:multiLevelType w:val="hybridMultilevel"/>
    <w:tmpl w:val="7A10303E"/>
    <w:lvl w:ilvl="0" w:tplc="3B1AD16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4926D6"/>
    <w:multiLevelType w:val="multilevel"/>
    <w:tmpl w:val="DD3E42E0"/>
    <w:lvl w:ilvl="0">
      <w:start w:val="1"/>
      <w:numFmt w:val="lowerLetter"/>
      <w:pStyle w:val="Odrkypsmeno"/>
      <w:lvlText w:val="%1)"/>
      <w:lvlJc w:val="left"/>
      <w:pPr>
        <w:ind w:left="425" w:hanging="425"/>
      </w:pPr>
      <w:rPr>
        <w:rFonts w:ascii="Arial" w:hAnsi="Arial" w:hint="default"/>
        <w:b/>
        <w:i w:val="0"/>
        <w:color w:val="233060"/>
        <w:sz w:val="22"/>
        <w:u w:val="none"/>
      </w:rPr>
    </w:lvl>
    <w:lvl w:ilvl="1">
      <w:start w:val="1"/>
      <w:numFmt w:val="lowerLetter"/>
      <w:lvlText w:val="%2)"/>
      <w:lvlJc w:val="left"/>
      <w:pPr>
        <w:ind w:left="850" w:hanging="425"/>
      </w:pPr>
      <w:rPr>
        <w:rFonts w:asciiTheme="minorHAnsi" w:hAnsiTheme="minorHAnsi" w:hint="default"/>
        <w:b w:val="0"/>
        <w:i w:val="0"/>
        <w:color w:val="233060"/>
        <w:sz w:val="22"/>
      </w:rPr>
    </w:lvl>
    <w:lvl w:ilvl="2">
      <w:start w:val="1"/>
      <w:numFmt w:val="lowerLetter"/>
      <w:lvlText w:val="%3)"/>
      <w:lvlJc w:val="right"/>
      <w:pPr>
        <w:ind w:left="1275" w:hanging="425"/>
      </w:pPr>
      <w:rPr>
        <w:rFonts w:asciiTheme="minorHAnsi" w:hAnsiTheme="minorHAnsi" w:hint="default"/>
        <w:b w:val="0"/>
        <w:i w:val="0"/>
        <w:color w:val="233060"/>
        <w:sz w:val="22"/>
      </w:rPr>
    </w:lvl>
    <w:lvl w:ilvl="3">
      <w:start w:val="1"/>
      <w:numFmt w:val="lowerLetter"/>
      <w:lvlText w:val="%4)"/>
      <w:lvlJc w:val="left"/>
      <w:pPr>
        <w:ind w:left="1700" w:hanging="425"/>
      </w:pPr>
      <w:rPr>
        <w:rFonts w:asciiTheme="minorHAnsi" w:hAnsiTheme="minorHAnsi" w:hint="default"/>
        <w:b w:val="0"/>
        <w:i w:val="0"/>
        <w:color w:val="233060"/>
        <w:sz w:val="22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8" w15:restartNumberingAfterBreak="0">
    <w:nsid w:val="7C895B12"/>
    <w:multiLevelType w:val="hybridMultilevel"/>
    <w:tmpl w:val="ED3CBC50"/>
    <w:lvl w:ilvl="0" w:tplc="BAFCD654">
      <w:start w:val="1"/>
      <w:numFmt w:val="decimal"/>
      <w:pStyle w:val="Odrkyslo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23306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5"/>
  </w:num>
  <w:num w:numId="9">
    <w:abstractNumId w:val="8"/>
  </w:num>
  <w:num w:numId="10">
    <w:abstractNumId w:val="7"/>
  </w:num>
  <w:num w:numId="11">
    <w:abstractNumId w:val="3"/>
  </w:num>
  <w:num w:numId="12">
    <w:abstractNumId w:val="6"/>
  </w:num>
  <w:num w:numId="13">
    <w:abstractNumId w:val="4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57E"/>
    <w:rsid w:val="000025C8"/>
    <w:rsid w:val="00004664"/>
    <w:rsid w:val="0001107C"/>
    <w:rsid w:val="00011983"/>
    <w:rsid w:val="00012AD9"/>
    <w:rsid w:val="0001541E"/>
    <w:rsid w:val="000218CC"/>
    <w:rsid w:val="0002339C"/>
    <w:rsid w:val="000315FF"/>
    <w:rsid w:val="000331BF"/>
    <w:rsid w:val="00045824"/>
    <w:rsid w:val="00047AC2"/>
    <w:rsid w:val="000508BF"/>
    <w:rsid w:val="00051C7F"/>
    <w:rsid w:val="000571CB"/>
    <w:rsid w:val="00061037"/>
    <w:rsid w:val="00061FFD"/>
    <w:rsid w:val="0006423F"/>
    <w:rsid w:val="000650B6"/>
    <w:rsid w:val="00071182"/>
    <w:rsid w:val="00072105"/>
    <w:rsid w:val="00075E41"/>
    <w:rsid w:val="0008406D"/>
    <w:rsid w:val="00085D46"/>
    <w:rsid w:val="00087A8B"/>
    <w:rsid w:val="000A084F"/>
    <w:rsid w:val="000B1CDC"/>
    <w:rsid w:val="000B552E"/>
    <w:rsid w:val="000C173C"/>
    <w:rsid w:val="000C616C"/>
    <w:rsid w:val="000C7882"/>
    <w:rsid w:val="000D6B86"/>
    <w:rsid w:val="000E3943"/>
    <w:rsid w:val="000E4ADC"/>
    <w:rsid w:val="000F5202"/>
    <w:rsid w:val="000F75D7"/>
    <w:rsid w:val="000F7C3A"/>
    <w:rsid w:val="00100B9F"/>
    <w:rsid w:val="001031B7"/>
    <w:rsid w:val="0010416A"/>
    <w:rsid w:val="00104721"/>
    <w:rsid w:val="00107692"/>
    <w:rsid w:val="00111118"/>
    <w:rsid w:val="0011469C"/>
    <w:rsid w:val="00114B4B"/>
    <w:rsid w:val="001164A2"/>
    <w:rsid w:val="001211F8"/>
    <w:rsid w:val="00122FE1"/>
    <w:rsid w:val="001335DD"/>
    <w:rsid w:val="001336B6"/>
    <w:rsid w:val="00133CCE"/>
    <w:rsid w:val="00134245"/>
    <w:rsid w:val="00134803"/>
    <w:rsid w:val="00135878"/>
    <w:rsid w:val="00136F3D"/>
    <w:rsid w:val="00140EFC"/>
    <w:rsid w:val="00142183"/>
    <w:rsid w:val="00142C99"/>
    <w:rsid w:val="00145076"/>
    <w:rsid w:val="00145122"/>
    <w:rsid w:val="00145D59"/>
    <w:rsid w:val="00145FAB"/>
    <w:rsid w:val="001543AC"/>
    <w:rsid w:val="0015635A"/>
    <w:rsid w:val="00166498"/>
    <w:rsid w:val="00166789"/>
    <w:rsid w:val="001732A2"/>
    <w:rsid w:val="00177350"/>
    <w:rsid w:val="0018545A"/>
    <w:rsid w:val="0018757B"/>
    <w:rsid w:val="00192873"/>
    <w:rsid w:val="00193AA8"/>
    <w:rsid w:val="001973B6"/>
    <w:rsid w:val="001976B6"/>
    <w:rsid w:val="001A518B"/>
    <w:rsid w:val="001B0634"/>
    <w:rsid w:val="001B0E86"/>
    <w:rsid w:val="001B2626"/>
    <w:rsid w:val="001B5017"/>
    <w:rsid w:val="001B5B5F"/>
    <w:rsid w:val="001C2B90"/>
    <w:rsid w:val="001C2BE8"/>
    <w:rsid w:val="001C592E"/>
    <w:rsid w:val="001C6B94"/>
    <w:rsid w:val="001D056A"/>
    <w:rsid w:val="001D568D"/>
    <w:rsid w:val="001E0ABD"/>
    <w:rsid w:val="001F51D6"/>
    <w:rsid w:val="00205AEB"/>
    <w:rsid w:val="002204EA"/>
    <w:rsid w:val="00225848"/>
    <w:rsid w:val="00225DEF"/>
    <w:rsid w:val="00226D87"/>
    <w:rsid w:val="00227765"/>
    <w:rsid w:val="00227966"/>
    <w:rsid w:val="00232B14"/>
    <w:rsid w:val="00236FDA"/>
    <w:rsid w:val="00237988"/>
    <w:rsid w:val="00241E0D"/>
    <w:rsid w:val="00242552"/>
    <w:rsid w:val="002431F5"/>
    <w:rsid w:val="0024794B"/>
    <w:rsid w:val="0025041F"/>
    <w:rsid w:val="0025253A"/>
    <w:rsid w:val="002573E8"/>
    <w:rsid w:val="00257C8F"/>
    <w:rsid w:val="00261550"/>
    <w:rsid w:val="002622B5"/>
    <w:rsid w:val="00266242"/>
    <w:rsid w:val="0027040D"/>
    <w:rsid w:val="0027149D"/>
    <w:rsid w:val="00274446"/>
    <w:rsid w:val="00277802"/>
    <w:rsid w:val="0028118D"/>
    <w:rsid w:val="00283E9E"/>
    <w:rsid w:val="00284A7B"/>
    <w:rsid w:val="00285DA6"/>
    <w:rsid w:val="00286E08"/>
    <w:rsid w:val="0029689D"/>
    <w:rsid w:val="002B064F"/>
    <w:rsid w:val="002B2694"/>
    <w:rsid w:val="002B351D"/>
    <w:rsid w:val="002B671C"/>
    <w:rsid w:val="002B682A"/>
    <w:rsid w:val="002B753C"/>
    <w:rsid w:val="002C2B3E"/>
    <w:rsid w:val="002C42C1"/>
    <w:rsid w:val="002D0AB8"/>
    <w:rsid w:val="002E403C"/>
    <w:rsid w:val="002F245E"/>
    <w:rsid w:val="00301528"/>
    <w:rsid w:val="00304201"/>
    <w:rsid w:val="00306CA4"/>
    <w:rsid w:val="0030742A"/>
    <w:rsid w:val="00322418"/>
    <w:rsid w:val="00323EDA"/>
    <w:rsid w:val="00332C3A"/>
    <w:rsid w:val="00334280"/>
    <w:rsid w:val="0033462F"/>
    <w:rsid w:val="00350655"/>
    <w:rsid w:val="003521BD"/>
    <w:rsid w:val="0035244C"/>
    <w:rsid w:val="00352DFA"/>
    <w:rsid w:val="0035531E"/>
    <w:rsid w:val="00355AB0"/>
    <w:rsid w:val="003615D5"/>
    <w:rsid w:val="00371634"/>
    <w:rsid w:val="00373FE6"/>
    <w:rsid w:val="003822B9"/>
    <w:rsid w:val="00391010"/>
    <w:rsid w:val="0039125C"/>
    <w:rsid w:val="00393A43"/>
    <w:rsid w:val="003940A8"/>
    <w:rsid w:val="0039410F"/>
    <w:rsid w:val="00396549"/>
    <w:rsid w:val="003976BB"/>
    <w:rsid w:val="003A1688"/>
    <w:rsid w:val="003A2308"/>
    <w:rsid w:val="003A7B1D"/>
    <w:rsid w:val="003B79F6"/>
    <w:rsid w:val="003C1370"/>
    <w:rsid w:val="003C52E3"/>
    <w:rsid w:val="003C59C1"/>
    <w:rsid w:val="003C6A0E"/>
    <w:rsid w:val="003C7DB0"/>
    <w:rsid w:val="003D123E"/>
    <w:rsid w:val="003D2ABB"/>
    <w:rsid w:val="003D4FB1"/>
    <w:rsid w:val="003D68A7"/>
    <w:rsid w:val="003D7C88"/>
    <w:rsid w:val="003E5378"/>
    <w:rsid w:val="003E7C01"/>
    <w:rsid w:val="003F00F7"/>
    <w:rsid w:val="003F04A5"/>
    <w:rsid w:val="004053E5"/>
    <w:rsid w:val="00405DD1"/>
    <w:rsid w:val="00411947"/>
    <w:rsid w:val="0041575C"/>
    <w:rsid w:val="00415E5E"/>
    <w:rsid w:val="00426E6F"/>
    <w:rsid w:val="00432954"/>
    <w:rsid w:val="00441A0B"/>
    <w:rsid w:val="00454C04"/>
    <w:rsid w:val="00457F78"/>
    <w:rsid w:val="004658D5"/>
    <w:rsid w:val="004736D9"/>
    <w:rsid w:val="00476642"/>
    <w:rsid w:val="00483BAC"/>
    <w:rsid w:val="00485AE9"/>
    <w:rsid w:val="00490B54"/>
    <w:rsid w:val="00494F8B"/>
    <w:rsid w:val="004B3F5D"/>
    <w:rsid w:val="004B4D49"/>
    <w:rsid w:val="004B5667"/>
    <w:rsid w:val="004B6A2B"/>
    <w:rsid w:val="004C17C1"/>
    <w:rsid w:val="004C2271"/>
    <w:rsid w:val="004C5CD8"/>
    <w:rsid w:val="004D1A6B"/>
    <w:rsid w:val="004D27B7"/>
    <w:rsid w:val="004D2C82"/>
    <w:rsid w:val="004D503E"/>
    <w:rsid w:val="004E7AE6"/>
    <w:rsid w:val="004F285B"/>
    <w:rsid w:val="004F3140"/>
    <w:rsid w:val="004F5CD5"/>
    <w:rsid w:val="004F5E3C"/>
    <w:rsid w:val="004F6D70"/>
    <w:rsid w:val="005019F6"/>
    <w:rsid w:val="00502CF9"/>
    <w:rsid w:val="0050643B"/>
    <w:rsid w:val="00507C35"/>
    <w:rsid w:val="00510576"/>
    <w:rsid w:val="005137D1"/>
    <w:rsid w:val="00520044"/>
    <w:rsid w:val="0052077C"/>
    <w:rsid w:val="00526D10"/>
    <w:rsid w:val="005309C8"/>
    <w:rsid w:val="005316FE"/>
    <w:rsid w:val="00531E13"/>
    <w:rsid w:val="005407BA"/>
    <w:rsid w:val="00547E31"/>
    <w:rsid w:val="00551794"/>
    <w:rsid w:val="00552976"/>
    <w:rsid w:val="00555C48"/>
    <w:rsid w:val="00556AC6"/>
    <w:rsid w:val="005640BC"/>
    <w:rsid w:val="0057003F"/>
    <w:rsid w:val="00570E2C"/>
    <w:rsid w:val="00570EB7"/>
    <w:rsid w:val="005715D0"/>
    <w:rsid w:val="00573217"/>
    <w:rsid w:val="005806CD"/>
    <w:rsid w:val="005874D8"/>
    <w:rsid w:val="00590B03"/>
    <w:rsid w:val="00591529"/>
    <w:rsid w:val="0059336A"/>
    <w:rsid w:val="005B10C2"/>
    <w:rsid w:val="005C4A4E"/>
    <w:rsid w:val="005C58EE"/>
    <w:rsid w:val="005D5F4D"/>
    <w:rsid w:val="005D6010"/>
    <w:rsid w:val="005D6096"/>
    <w:rsid w:val="005E0817"/>
    <w:rsid w:val="005E238A"/>
    <w:rsid w:val="005E7A32"/>
    <w:rsid w:val="005F2E7D"/>
    <w:rsid w:val="005F4019"/>
    <w:rsid w:val="00600FA7"/>
    <w:rsid w:val="006014B4"/>
    <w:rsid w:val="00603A84"/>
    <w:rsid w:val="00604B4A"/>
    <w:rsid w:val="0060627D"/>
    <w:rsid w:val="00613148"/>
    <w:rsid w:val="006153F3"/>
    <w:rsid w:val="00615CCA"/>
    <w:rsid w:val="00616772"/>
    <w:rsid w:val="00625ACB"/>
    <w:rsid w:val="00626B39"/>
    <w:rsid w:val="00645A0D"/>
    <w:rsid w:val="00650B51"/>
    <w:rsid w:val="00651591"/>
    <w:rsid w:val="00653A74"/>
    <w:rsid w:val="00655B6D"/>
    <w:rsid w:val="00680482"/>
    <w:rsid w:val="00685617"/>
    <w:rsid w:val="0068796A"/>
    <w:rsid w:val="00692033"/>
    <w:rsid w:val="006928DE"/>
    <w:rsid w:val="00693A6E"/>
    <w:rsid w:val="00695C15"/>
    <w:rsid w:val="006A2F62"/>
    <w:rsid w:val="006A54FA"/>
    <w:rsid w:val="006A7D9E"/>
    <w:rsid w:val="006C1BCC"/>
    <w:rsid w:val="006C306F"/>
    <w:rsid w:val="006C5018"/>
    <w:rsid w:val="006C5D01"/>
    <w:rsid w:val="006C72BB"/>
    <w:rsid w:val="006D3FFE"/>
    <w:rsid w:val="006D5FE2"/>
    <w:rsid w:val="006D6A1E"/>
    <w:rsid w:val="006E71F3"/>
    <w:rsid w:val="006F1868"/>
    <w:rsid w:val="006F2BAD"/>
    <w:rsid w:val="006F2BCE"/>
    <w:rsid w:val="006F4D4C"/>
    <w:rsid w:val="00707C91"/>
    <w:rsid w:val="00710A94"/>
    <w:rsid w:val="0071179F"/>
    <w:rsid w:val="007138B9"/>
    <w:rsid w:val="00720880"/>
    <w:rsid w:val="00721FB1"/>
    <w:rsid w:val="00722104"/>
    <w:rsid w:val="007306E4"/>
    <w:rsid w:val="00731736"/>
    <w:rsid w:val="00732957"/>
    <w:rsid w:val="007424DF"/>
    <w:rsid w:val="00743676"/>
    <w:rsid w:val="00743FFD"/>
    <w:rsid w:val="00750A3E"/>
    <w:rsid w:val="00750CB9"/>
    <w:rsid w:val="00760BF7"/>
    <w:rsid w:val="007768E9"/>
    <w:rsid w:val="00782458"/>
    <w:rsid w:val="00782C08"/>
    <w:rsid w:val="00785109"/>
    <w:rsid w:val="007918ED"/>
    <w:rsid w:val="007A3624"/>
    <w:rsid w:val="007A6284"/>
    <w:rsid w:val="007A6A8F"/>
    <w:rsid w:val="007B0193"/>
    <w:rsid w:val="007B178E"/>
    <w:rsid w:val="007C14BE"/>
    <w:rsid w:val="007C5374"/>
    <w:rsid w:val="007D0977"/>
    <w:rsid w:val="007D310D"/>
    <w:rsid w:val="007E0BE4"/>
    <w:rsid w:val="007E4380"/>
    <w:rsid w:val="007E49C3"/>
    <w:rsid w:val="007E4A14"/>
    <w:rsid w:val="007F48B3"/>
    <w:rsid w:val="007F5352"/>
    <w:rsid w:val="007F5CA1"/>
    <w:rsid w:val="007F6EA7"/>
    <w:rsid w:val="007F735B"/>
    <w:rsid w:val="00804F55"/>
    <w:rsid w:val="00806A75"/>
    <w:rsid w:val="008150F6"/>
    <w:rsid w:val="00824B9D"/>
    <w:rsid w:val="008262E9"/>
    <w:rsid w:val="008367D6"/>
    <w:rsid w:val="008407F1"/>
    <w:rsid w:val="00843945"/>
    <w:rsid w:val="008565E2"/>
    <w:rsid w:val="008752BD"/>
    <w:rsid w:val="0087698D"/>
    <w:rsid w:val="0088031A"/>
    <w:rsid w:val="00883CB7"/>
    <w:rsid w:val="00887020"/>
    <w:rsid w:val="00887234"/>
    <w:rsid w:val="00893114"/>
    <w:rsid w:val="008947D0"/>
    <w:rsid w:val="00897DD6"/>
    <w:rsid w:val="008A2F6F"/>
    <w:rsid w:val="008A4EE6"/>
    <w:rsid w:val="008A5083"/>
    <w:rsid w:val="008A5587"/>
    <w:rsid w:val="008C72AD"/>
    <w:rsid w:val="008C7AD8"/>
    <w:rsid w:val="008D7399"/>
    <w:rsid w:val="008E1519"/>
    <w:rsid w:val="008E3B32"/>
    <w:rsid w:val="008E62D6"/>
    <w:rsid w:val="008F1BBF"/>
    <w:rsid w:val="00900430"/>
    <w:rsid w:val="00911805"/>
    <w:rsid w:val="00921AC9"/>
    <w:rsid w:val="009221D7"/>
    <w:rsid w:val="00927A04"/>
    <w:rsid w:val="00934290"/>
    <w:rsid w:val="0094008A"/>
    <w:rsid w:val="00941E72"/>
    <w:rsid w:val="00951B34"/>
    <w:rsid w:val="00952E71"/>
    <w:rsid w:val="00954452"/>
    <w:rsid w:val="0096064A"/>
    <w:rsid w:val="00966945"/>
    <w:rsid w:val="009677FD"/>
    <w:rsid w:val="00967F08"/>
    <w:rsid w:val="009721DE"/>
    <w:rsid w:val="009725E7"/>
    <w:rsid w:val="0097318F"/>
    <w:rsid w:val="00976DDC"/>
    <w:rsid w:val="00985FCB"/>
    <w:rsid w:val="009860AB"/>
    <w:rsid w:val="0098709F"/>
    <w:rsid w:val="00992336"/>
    <w:rsid w:val="00993DC3"/>
    <w:rsid w:val="00996E3A"/>
    <w:rsid w:val="00996EDD"/>
    <w:rsid w:val="00997BDA"/>
    <w:rsid w:val="009A0D4F"/>
    <w:rsid w:val="009A6B6C"/>
    <w:rsid w:val="009A6EB8"/>
    <w:rsid w:val="009A7290"/>
    <w:rsid w:val="009B7E1F"/>
    <w:rsid w:val="009C0B1F"/>
    <w:rsid w:val="009C2998"/>
    <w:rsid w:val="009C7AA4"/>
    <w:rsid w:val="009D2B07"/>
    <w:rsid w:val="009D7919"/>
    <w:rsid w:val="009D7BD4"/>
    <w:rsid w:val="009E259B"/>
    <w:rsid w:val="009E4FD9"/>
    <w:rsid w:val="009E680F"/>
    <w:rsid w:val="009F0FAF"/>
    <w:rsid w:val="009F25F5"/>
    <w:rsid w:val="009F3DF7"/>
    <w:rsid w:val="009F3EE7"/>
    <w:rsid w:val="009F6F06"/>
    <w:rsid w:val="009F7590"/>
    <w:rsid w:val="00A115A8"/>
    <w:rsid w:val="00A162B5"/>
    <w:rsid w:val="00A27793"/>
    <w:rsid w:val="00A30AE7"/>
    <w:rsid w:val="00A36EF8"/>
    <w:rsid w:val="00A411B5"/>
    <w:rsid w:val="00A43674"/>
    <w:rsid w:val="00A5082B"/>
    <w:rsid w:val="00A518CA"/>
    <w:rsid w:val="00A55E42"/>
    <w:rsid w:val="00A572A8"/>
    <w:rsid w:val="00A65443"/>
    <w:rsid w:val="00A65E6B"/>
    <w:rsid w:val="00A66974"/>
    <w:rsid w:val="00A73BA0"/>
    <w:rsid w:val="00A82634"/>
    <w:rsid w:val="00A82E10"/>
    <w:rsid w:val="00A83983"/>
    <w:rsid w:val="00A83DC3"/>
    <w:rsid w:val="00A83E3E"/>
    <w:rsid w:val="00A90649"/>
    <w:rsid w:val="00A927BE"/>
    <w:rsid w:val="00A97F12"/>
    <w:rsid w:val="00AA27B3"/>
    <w:rsid w:val="00AA557B"/>
    <w:rsid w:val="00AB1251"/>
    <w:rsid w:val="00AB31DB"/>
    <w:rsid w:val="00AC7773"/>
    <w:rsid w:val="00AE1652"/>
    <w:rsid w:val="00AE2DAC"/>
    <w:rsid w:val="00AE48BA"/>
    <w:rsid w:val="00AE6AFB"/>
    <w:rsid w:val="00AF2B93"/>
    <w:rsid w:val="00AF3AE5"/>
    <w:rsid w:val="00AF4083"/>
    <w:rsid w:val="00B0005F"/>
    <w:rsid w:val="00B03EEA"/>
    <w:rsid w:val="00B07842"/>
    <w:rsid w:val="00B1017C"/>
    <w:rsid w:val="00B10337"/>
    <w:rsid w:val="00B10D13"/>
    <w:rsid w:val="00B12805"/>
    <w:rsid w:val="00B130C4"/>
    <w:rsid w:val="00B14B69"/>
    <w:rsid w:val="00B15811"/>
    <w:rsid w:val="00B200DD"/>
    <w:rsid w:val="00B20242"/>
    <w:rsid w:val="00B30F9B"/>
    <w:rsid w:val="00B33FC7"/>
    <w:rsid w:val="00B43E2B"/>
    <w:rsid w:val="00B45EC4"/>
    <w:rsid w:val="00B4642D"/>
    <w:rsid w:val="00B50411"/>
    <w:rsid w:val="00B52210"/>
    <w:rsid w:val="00B60E4D"/>
    <w:rsid w:val="00B67FBD"/>
    <w:rsid w:val="00B716AD"/>
    <w:rsid w:val="00B72F6D"/>
    <w:rsid w:val="00B77963"/>
    <w:rsid w:val="00B8328C"/>
    <w:rsid w:val="00B84FE2"/>
    <w:rsid w:val="00B87185"/>
    <w:rsid w:val="00B87CD7"/>
    <w:rsid w:val="00B87F50"/>
    <w:rsid w:val="00BA1071"/>
    <w:rsid w:val="00BA322C"/>
    <w:rsid w:val="00BB1F3C"/>
    <w:rsid w:val="00BB3DE3"/>
    <w:rsid w:val="00BB532D"/>
    <w:rsid w:val="00BC78A7"/>
    <w:rsid w:val="00BD47DA"/>
    <w:rsid w:val="00BD646A"/>
    <w:rsid w:val="00BE0E43"/>
    <w:rsid w:val="00BF757E"/>
    <w:rsid w:val="00BF7DEB"/>
    <w:rsid w:val="00C035F7"/>
    <w:rsid w:val="00C03ACE"/>
    <w:rsid w:val="00C0728A"/>
    <w:rsid w:val="00C1092A"/>
    <w:rsid w:val="00C15057"/>
    <w:rsid w:val="00C1737E"/>
    <w:rsid w:val="00C223D9"/>
    <w:rsid w:val="00C22ED6"/>
    <w:rsid w:val="00C2345E"/>
    <w:rsid w:val="00C25365"/>
    <w:rsid w:val="00C255DC"/>
    <w:rsid w:val="00C346AA"/>
    <w:rsid w:val="00C34956"/>
    <w:rsid w:val="00C40A7C"/>
    <w:rsid w:val="00C40DFC"/>
    <w:rsid w:val="00C42995"/>
    <w:rsid w:val="00C4433F"/>
    <w:rsid w:val="00C55B5D"/>
    <w:rsid w:val="00C604C6"/>
    <w:rsid w:val="00C656B4"/>
    <w:rsid w:val="00C74E4A"/>
    <w:rsid w:val="00C76ADB"/>
    <w:rsid w:val="00C868AC"/>
    <w:rsid w:val="00C87074"/>
    <w:rsid w:val="00C91760"/>
    <w:rsid w:val="00CA28D2"/>
    <w:rsid w:val="00CA301F"/>
    <w:rsid w:val="00CA5051"/>
    <w:rsid w:val="00CA6686"/>
    <w:rsid w:val="00CA7A70"/>
    <w:rsid w:val="00CA7FD9"/>
    <w:rsid w:val="00CB5C16"/>
    <w:rsid w:val="00CB5F58"/>
    <w:rsid w:val="00CC1122"/>
    <w:rsid w:val="00CC457F"/>
    <w:rsid w:val="00CC4D9F"/>
    <w:rsid w:val="00CD6214"/>
    <w:rsid w:val="00CD7553"/>
    <w:rsid w:val="00CE3663"/>
    <w:rsid w:val="00CF1066"/>
    <w:rsid w:val="00CF2367"/>
    <w:rsid w:val="00CF352B"/>
    <w:rsid w:val="00CF385D"/>
    <w:rsid w:val="00CF4679"/>
    <w:rsid w:val="00CF588E"/>
    <w:rsid w:val="00D149C4"/>
    <w:rsid w:val="00D176C0"/>
    <w:rsid w:val="00D17CBD"/>
    <w:rsid w:val="00D2034A"/>
    <w:rsid w:val="00D26113"/>
    <w:rsid w:val="00D27DC4"/>
    <w:rsid w:val="00D339D6"/>
    <w:rsid w:val="00D364AA"/>
    <w:rsid w:val="00D4023C"/>
    <w:rsid w:val="00D4622C"/>
    <w:rsid w:val="00D514E4"/>
    <w:rsid w:val="00D52D32"/>
    <w:rsid w:val="00D534C7"/>
    <w:rsid w:val="00D534E6"/>
    <w:rsid w:val="00D62462"/>
    <w:rsid w:val="00D67FAC"/>
    <w:rsid w:val="00D8045A"/>
    <w:rsid w:val="00D8185B"/>
    <w:rsid w:val="00D903C1"/>
    <w:rsid w:val="00D94B77"/>
    <w:rsid w:val="00D94C62"/>
    <w:rsid w:val="00D94E3E"/>
    <w:rsid w:val="00D94F9D"/>
    <w:rsid w:val="00DA2405"/>
    <w:rsid w:val="00DA302C"/>
    <w:rsid w:val="00DA3158"/>
    <w:rsid w:val="00DA386C"/>
    <w:rsid w:val="00DA6A32"/>
    <w:rsid w:val="00DB054C"/>
    <w:rsid w:val="00DB1A8C"/>
    <w:rsid w:val="00DB6B9C"/>
    <w:rsid w:val="00DC3A03"/>
    <w:rsid w:val="00DC4666"/>
    <w:rsid w:val="00DC5823"/>
    <w:rsid w:val="00DD1109"/>
    <w:rsid w:val="00DD13D6"/>
    <w:rsid w:val="00DD51CF"/>
    <w:rsid w:val="00DD6B9A"/>
    <w:rsid w:val="00DE02BD"/>
    <w:rsid w:val="00DF0D6C"/>
    <w:rsid w:val="00DF5DC7"/>
    <w:rsid w:val="00E0093B"/>
    <w:rsid w:val="00E05CC8"/>
    <w:rsid w:val="00E06620"/>
    <w:rsid w:val="00E07899"/>
    <w:rsid w:val="00E15AB4"/>
    <w:rsid w:val="00E17532"/>
    <w:rsid w:val="00E23EC2"/>
    <w:rsid w:val="00E31CD9"/>
    <w:rsid w:val="00E32425"/>
    <w:rsid w:val="00E32F0D"/>
    <w:rsid w:val="00E3700D"/>
    <w:rsid w:val="00E40263"/>
    <w:rsid w:val="00E41308"/>
    <w:rsid w:val="00E47457"/>
    <w:rsid w:val="00E50371"/>
    <w:rsid w:val="00E5491F"/>
    <w:rsid w:val="00E6084E"/>
    <w:rsid w:val="00E60B8F"/>
    <w:rsid w:val="00E622EB"/>
    <w:rsid w:val="00E65284"/>
    <w:rsid w:val="00E76E8B"/>
    <w:rsid w:val="00E9228A"/>
    <w:rsid w:val="00E9707F"/>
    <w:rsid w:val="00EA429F"/>
    <w:rsid w:val="00EB3029"/>
    <w:rsid w:val="00EB7897"/>
    <w:rsid w:val="00EB7A52"/>
    <w:rsid w:val="00ED1AE9"/>
    <w:rsid w:val="00EE24ED"/>
    <w:rsid w:val="00EF5722"/>
    <w:rsid w:val="00EF5A47"/>
    <w:rsid w:val="00EF5ABA"/>
    <w:rsid w:val="00F0060D"/>
    <w:rsid w:val="00F1005C"/>
    <w:rsid w:val="00F119E6"/>
    <w:rsid w:val="00F21498"/>
    <w:rsid w:val="00F268A0"/>
    <w:rsid w:val="00F30640"/>
    <w:rsid w:val="00F4225E"/>
    <w:rsid w:val="00F55AE8"/>
    <w:rsid w:val="00F56E41"/>
    <w:rsid w:val="00F60E50"/>
    <w:rsid w:val="00F6270A"/>
    <w:rsid w:val="00F62D6A"/>
    <w:rsid w:val="00F64BE7"/>
    <w:rsid w:val="00F650C8"/>
    <w:rsid w:val="00F73427"/>
    <w:rsid w:val="00F814CA"/>
    <w:rsid w:val="00F84168"/>
    <w:rsid w:val="00F86961"/>
    <w:rsid w:val="00F878B2"/>
    <w:rsid w:val="00F90359"/>
    <w:rsid w:val="00F93C69"/>
    <w:rsid w:val="00F97360"/>
    <w:rsid w:val="00FA024A"/>
    <w:rsid w:val="00FA371F"/>
    <w:rsid w:val="00FB3675"/>
    <w:rsid w:val="00FC1E04"/>
    <w:rsid w:val="00FC37F2"/>
    <w:rsid w:val="00FC3CFE"/>
    <w:rsid w:val="00FC54E6"/>
    <w:rsid w:val="00FD3EE8"/>
    <w:rsid w:val="00FD70FD"/>
    <w:rsid w:val="00FE5B2E"/>
    <w:rsid w:val="00FF2F97"/>
    <w:rsid w:val="00FF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AA6FE"/>
  <w15:docId w15:val="{82E5B191-2A8E-4731-9DDC-D678A427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B7A52"/>
    <w:pPr>
      <w:spacing w:before="60" w:after="120" w:line="264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3506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A2447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0655"/>
    <w:pPr>
      <w:tabs>
        <w:tab w:val="left" w:pos="567"/>
        <w:tab w:val="center" w:pos="4536"/>
        <w:tab w:val="right" w:pos="9072"/>
        <w:tab w:val="right" w:leader="dot" w:pos="10206"/>
      </w:tabs>
      <w:spacing w:after="0" w:line="240" w:lineRule="auto"/>
    </w:pPr>
    <w:rPr>
      <w:rFonts w:eastAsiaTheme="minorHAnsi"/>
      <w:color w:val="262626" w:themeColor="text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50655"/>
    <w:rPr>
      <w:rFonts w:eastAsiaTheme="minorHAnsi"/>
      <w:color w:val="262626" w:themeColor="text1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50655"/>
    <w:pPr>
      <w:tabs>
        <w:tab w:val="left" w:pos="567"/>
        <w:tab w:val="center" w:pos="4536"/>
        <w:tab w:val="right" w:pos="9072"/>
        <w:tab w:val="right" w:leader="dot" w:pos="10206"/>
      </w:tabs>
      <w:spacing w:after="0" w:line="240" w:lineRule="auto"/>
    </w:pPr>
    <w:rPr>
      <w:rFonts w:eastAsiaTheme="minorHAnsi"/>
      <w:color w:val="262626" w:themeColor="text1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50655"/>
    <w:rPr>
      <w:rFonts w:eastAsiaTheme="minorHAnsi"/>
      <w:color w:val="262626" w:themeColor="text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928D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qFormat/>
    <w:rsid w:val="006928DE"/>
    <w:rPr>
      <w:color w:val="0000FF"/>
      <w:u w:val="single"/>
    </w:rPr>
  </w:style>
  <w:style w:type="character" w:styleId="Zstupntext">
    <w:name w:val="Placeholder Text"/>
    <w:uiPriority w:val="99"/>
    <w:semiHidden/>
    <w:rsid w:val="00E50371"/>
    <w:rPr>
      <w:color w:val="808080"/>
    </w:rPr>
  </w:style>
  <w:style w:type="paragraph" w:customStyle="1" w:styleId="NadpisX">
    <w:name w:val="Nadpis (X)"/>
    <w:basedOn w:val="Normln"/>
    <w:next w:val="Normln"/>
    <w:link w:val="NadpisXChar"/>
    <w:qFormat/>
    <w:rsid w:val="00142183"/>
    <w:pPr>
      <w:keepNext/>
      <w:keepLines/>
      <w:tabs>
        <w:tab w:val="left" w:pos="851"/>
        <w:tab w:val="right" w:leader="dot" w:pos="10206"/>
      </w:tabs>
      <w:spacing w:before="480" w:after="60" w:line="240" w:lineRule="auto"/>
      <w:outlineLvl w:val="0"/>
    </w:pPr>
    <w:rPr>
      <w:rFonts w:eastAsiaTheme="minorHAnsi"/>
      <w:b/>
      <w:bCs/>
      <w:caps/>
      <w:color w:val="233060"/>
      <w:sz w:val="32"/>
      <w:lang w:eastAsia="en-US"/>
    </w:rPr>
  </w:style>
  <w:style w:type="character" w:customStyle="1" w:styleId="NadpisXChar">
    <w:name w:val="Nadpis (X) Char"/>
    <w:basedOn w:val="Standardnpsmoodstavce"/>
    <w:link w:val="NadpisX"/>
    <w:rsid w:val="00142183"/>
    <w:rPr>
      <w:rFonts w:eastAsiaTheme="minorHAnsi"/>
      <w:b/>
      <w:bCs/>
      <w:caps/>
      <w:color w:val="233060"/>
      <w:sz w:val="32"/>
      <w:lang w:eastAsia="en-US"/>
    </w:rPr>
  </w:style>
  <w:style w:type="paragraph" w:customStyle="1" w:styleId="NadpisXX">
    <w:name w:val="Nadpis (X.X)"/>
    <w:basedOn w:val="Normln"/>
    <w:next w:val="Normln"/>
    <w:link w:val="NadpisXXChar"/>
    <w:qFormat/>
    <w:rsid w:val="00142183"/>
    <w:pPr>
      <w:keepNext/>
      <w:keepLines/>
      <w:tabs>
        <w:tab w:val="left" w:pos="851"/>
        <w:tab w:val="right" w:leader="dot" w:pos="10206"/>
      </w:tabs>
      <w:spacing w:before="480" w:after="60" w:line="240" w:lineRule="auto"/>
      <w:outlineLvl w:val="1"/>
    </w:pPr>
    <w:rPr>
      <w:rFonts w:eastAsiaTheme="minorHAnsi"/>
      <w:b/>
      <w:bCs/>
      <w:color w:val="233060"/>
      <w:sz w:val="28"/>
      <w:szCs w:val="28"/>
      <w:lang w:eastAsia="en-US"/>
    </w:rPr>
  </w:style>
  <w:style w:type="character" w:customStyle="1" w:styleId="NadpisXXChar">
    <w:name w:val="Nadpis (X.X) Char"/>
    <w:basedOn w:val="Standardnpsmoodstavce"/>
    <w:link w:val="NadpisXX"/>
    <w:rsid w:val="00142183"/>
    <w:rPr>
      <w:rFonts w:eastAsiaTheme="minorHAnsi"/>
      <w:b/>
      <w:bCs/>
      <w:color w:val="233060"/>
      <w:sz w:val="28"/>
      <w:szCs w:val="28"/>
      <w:lang w:eastAsia="en-US"/>
    </w:rPr>
  </w:style>
  <w:style w:type="paragraph" w:customStyle="1" w:styleId="NadpisXXX">
    <w:name w:val="Nadpis (X.X.X)"/>
    <w:basedOn w:val="Normln"/>
    <w:next w:val="Normln"/>
    <w:link w:val="NadpisXXXChar"/>
    <w:autoRedefine/>
    <w:qFormat/>
    <w:rsid w:val="00142183"/>
    <w:pPr>
      <w:keepNext/>
      <w:keepLines/>
      <w:tabs>
        <w:tab w:val="left" w:pos="851"/>
        <w:tab w:val="right" w:leader="dot" w:pos="10206"/>
      </w:tabs>
      <w:spacing w:before="480" w:line="240" w:lineRule="auto"/>
      <w:outlineLvl w:val="2"/>
    </w:pPr>
    <w:rPr>
      <w:rFonts w:eastAsiaTheme="minorHAnsi"/>
      <w:b/>
      <w:color w:val="233060"/>
      <w:sz w:val="24"/>
      <w:szCs w:val="24"/>
      <w:lang w:eastAsia="en-US"/>
    </w:rPr>
  </w:style>
  <w:style w:type="character" w:customStyle="1" w:styleId="NadpisXXXChar">
    <w:name w:val="Nadpis (X.X.X) Char"/>
    <w:basedOn w:val="Standardnpsmoodstavce"/>
    <w:link w:val="NadpisXXX"/>
    <w:rsid w:val="00142183"/>
    <w:rPr>
      <w:rFonts w:eastAsiaTheme="minorHAnsi"/>
      <w:b/>
      <w:color w:val="23306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50655"/>
    <w:rPr>
      <w:rFonts w:asciiTheme="majorHAnsi" w:eastAsiaTheme="majorEastAsia" w:hAnsiTheme="majorHAnsi" w:cstheme="majorBidi"/>
      <w:color w:val="1A2447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link w:val="NadpisobsahuChar"/>
    <w:uiPriority w:val="39"/>
    <w:unhideWhenUsed/>
    <w:qFormat/>
    <w:rsid w:val="00350655"/>
    <w:pPr>
      <w:tabs>
        <w:tab w:val="left" w:pos="567"/>
        <w:tab w:val="right" w:leader="dot" w:pos="10206"/>
      </w:tabs>
      <w:spacing w:before="0" w:after="240" w:line="240" w:lineRule="auto"/>
      <w:outlineLvl w:val="9"/>
    </w:pPr>
    <w:rPr>
      <w:b/>
      <w:caps/>
      <w:color w:val="233060"/>
    </w:rPr>
  </w:style>
  <w:style w:type="character" w:customStyle="1" w:styleId="NadpisobsahuChar">
    <w:name w:val="Nadpis obsahu Char"/>
    <w:basedOn w:val="Nadpis1Char"/>
    <w:link w:val="Nadpisobsahu"/>
    <w:uiPriority w:val="39"/>
    <w:rsid w:val="00350655"/>
    <w:rPr>
      <w:rFonts w:asciiTheme="majorHAnsi" w:eastAsiaTheme="majorEastAsia" w:hAnsiTheme="majorHAnsi" w:cstheme="majorBidi"/>
      <w:b/>
      <w:caps/>
      <w:color w:val="233060"/>
      <w:sz w:val="32"/>
      <w:szCs w:val="32"/>
    </w:rPr>
  </w:style>
  <w:style w:type="paragraph" w:customStyle="1" w:styleId="Zdroj">
    <w:name w:val="Zdroj"/>
    <w:basedOn w:val="Normln"/>
    <w:next w:val="Normln"/>
    <w:link w:val="ZdrojChar"/>
    <w:qFormat/>
    <w:rsid w:val="00350655"/>
    <w:pPr>
      <w:tabs>
        <w:tab w:val="left" w:pos="567"/>
        <w:tab w:val="right" w:leader="dot" w:pos="10206"/>
      </w:tabs>
      <w:spacing w:before="120" w:after="360" w:line="240" w:lineRule="auto"/>
    </w:pPr>
    <w:rPr>
      <w:rFonts w:eastAsiaTheme="minorHAnsi"/>
      <w:color w:val="929292" w:themeColor="text1" w:themeTint="80"/>
      <w:sz w:val="20"/>
      <w:lang w:eastAsia="en-US"/>
    </w:rPr>
  </w:style>
  <w:style w:type="character" w:customStyle="1" w:styleId="ZdrojChar">
    <w:name w:val="Zdroj Char"/>
    <w:basedOn w:val="Standardnpsmoodstavce"/>
    <w:link w:val="Zdroj"/>
    <w:rsid w:val="00350655"/>
    <w:rPr>
      <w:rFonts w:eastAsiaTheme="minorHAnsi"/>
      <w:color w:val="929292" w:themeColor="text1" w:themeTint="80"/>
      <w:sz w:val="20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286E08"/>
    <w:pPr>
      <w:tabs>
        <w:tab w:val="left" w:pos="567"/>
        <w:tab w:val="right" w:leader="dot" w:pos="10206"/>
      </w:tabs>
      <w:spacing w:before="0"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86E08"/>
    <w:rPr>
      <w:rFonts w:eastAsiaTheme="minorHAns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286E08"/>
    <w:rPr>
      <w:vertAlign w:val="superscript"/>
    </w:rPr>
  </w:style>
  <w:style w:type="paragraph" w:customStyle="1" w:styleId="Odrkypky">
    <w:name w:val="Odrážky páčky"/>
    <w:basedOn w:val="Normln"/>
    <w:link w:val="OdrkypkyChar"/>
    <w:qFormat/>
    <w:rsid w:val="00286E08"/>
    <w:pPr>
      <w:numPr>
        <w:numId w:val="7"/>
      </w:numPr>
      <w:spacing w:before="120" w:line="240" w:lineRule="auto"/>
      <w:contextualSpacing/>
      <w:jc w:val="both"/>
      <w:outlineLvl w:val="3"/>
    </w:pPr>
    <w:rPr>
      <w:rFonts w:eastAsiaTheme="minorHAnsi"/>
      <w:lang w:eastAsia="en-US"/>
    </w:rPr>
  </w:style>
  <w:style w:type="paragraph" w:styleId="Titulek">
    <w:name w:val="caption"/>
    <w:aliases w:val="Tabulky,Grafy,Obrázky,Přílohy"/>
    <w:next w:val="Normln"/>
    <w:link w:val="TitulekChar"/>
    <w:uiPriority w:val="35"/>
    <w:unhideWhenUsed/>
    <w:qFormat/>
    <w:rsid w:val="00286E08"/>
    <w:pPr>
      <w:keepNext/>
      <w:keepLines/>
      <w:spacing w:before="360" w:after="160" w:line="259" w:lineRule="auto"/>
      <w:ind w:left="1276" w:hanging="1276"/>
    </w:pPr>
    <w:rPr>
      <w:rFonts w:eastAsiaTheme="minorHAnsi"/>
      <w:b/>
      <w:bCs/>
      <w:iCs/>
      <w:color w:val="23315F" w:themeColor="accent1"/>
      <w:lang w:eastAsia="en-US"/>
    </w:rPr>
  </w:style>
  <w:style w:type="character" w:customStyle="1" w:styleId="OdrkypkyChar">
    <w:name w:val="Odrážky páčky Char"/>
    <w:basedOn w:val="Standardnpsmoodstavce"/>
    <w:link w:val="Odrkypky"/>
    <w:rsid w:val="00286E08"/>
    <w:rPr>
      <w:rFonts w:eastAsiaTheme="minorHAnsi"/>
      <w:lang w:eastAsia="en-US"/>
    </w:rPr>
  </w:style>
  <w:style w:type="paragraph" w:styleId="Seznamobrzk">
    <w:name w:val="table of figures"/>
    <w:basedOn w:val="Normln"/>
    <w:next w:val="Normln"/>
    <w:uiPriority w:val="99"/>
    <w:unhideWhenUsed/>
    <w:rsid w:val="00286E08"/>
    <w:pPr>
      <w:tabs>
        <w:tab w:val="left" w:pos="1276"/>
        <w:tab w:val="right" w:leader="dot" w:pos="10206"/>
      </w:tabs>
      <w:spacing w:before="0" w:after="0" w:line="240" w:lineRule="auto"/>
    </w:pPr>
    <w:rPr>
      <w:rFonts w:eastAsiaTheme="minorHAnsi"/>
      <w:lang w:eastAsia="en-US"/>
    </w:rPr>
  </w:style>
  <w:style w:type="paragraph" w:customStyle="1" w:styleId="Titulkamodrnadpis">
    <w:name w:val="Titulka modrý nadpis"/>
    <w:basedOn w:val="Normln"/>
    <w:next w:val="Titulkaervennadpis"/>
    <w:link w:val="TitulkamodrnadpisChar"/>
    <w:qFormat/>
    <w:rsid w:val="00286E08"/>
    <w:pPr>
      <w:keepNext/>
      <w:keepLines/>
      <w:spacing w:before="0" w:line="240" w:lineRule="auto"/>
    </w:pPr>
    <w:rPr>
      <w:rFonts w:eastAsiaTheme="minorHAnsi"/>
      <w:b/>
      <w:caps/>
      <w:color w:val="233060"/>
      <w:sz w:val="48"/>
      <w:szCs w:val="32"/>
      <w:lang w:eastAsia="en-US"/>
    </w:rPr>
  </w:style>
  <w:style w:type="paragraph" w:customStyle="1" w:styleId="Odstavec">
    <w:name w:val="Odstavec"/>
    <w:basedOn w:val="Normln"/>
    <w:link w:val="OdstavecChar"/>
    <w:qFormat/>
    <w:rsid w:val="00286E08"/>
    <w:pPr>
      <w:spacing w:line="240" w:lineRule="auto"/>
      <w:jc w:val="both"/>
    </w:pPr>
    <w:rPr>
      <w:rFonts w:eastAsiaTheme="minorHAnsi"/>
      <w:lang w:eastAsia="en-US"/>
    </w:rPr>
  </w:style>
  <w:style w:type="character" w:customStyle="1" w:styleId="OdstavecChar">
    <w:name w:val="Odstavec Char"/>
    <w:basedOn w:val="Standardnpsmoodstavce"/>
    <w:link w:val="Odstavec"/>
    <w:rsid w:val="00286E08"/>
    <w:rPr>
      <w:rFonts w:eastAsiaTheme="minorHAnsi"/>
      <w:lang w:eastAsia="en-US"/>
    </w:rPr>
  </w:style>
  <w:style w:type="character" w:customStyle="1" w:styleId="TitulekChar">
    <w:name w:val="Titulek Char"/>
    <w:aliases w:val="Tabulky Char,Grafy Char,Obrázky Char,Přílohy Char"/>
    <w:basedOn w:val="Standardnpsmoodstavce"/>
    <w:link w:val="Titulek"/>
    <w:uiPriority w:val="35"/>
    <w:rsid w:val="00286E08"/>
    <w:rPr>
      <w:rFonts w:eastAsiaTheme="minorHAnsi"/>
      <w:b/>
      <w:bCs/>
      <w:iCs/>
      <w:color w:val="23315F" w:themeColor="accent1"/>
      <w:lang w:eastAsia="en-US"/>
    </w:rPr>
  </w:style>
  <w:style w:type="character" w:customStyle="1" w:styleId="TitulkamodrnadpisChar">
    <w:name w:val="Titulka modrý nadpis Char"/>
    <w:basedOn w:val="Standardnpsmoodstavce"/>
    <w:link w:val="Titulkamodrnadpis"/>
    <w:rsid w:val="00286E08"/>
    <w:rPr>
      <w:rFonts w:eastAsiaTheme="minorHAnsi"/>
      <w:b/>
      <w:caps/>
      <w:color w:val="233060"/>
      <w:sz w:val="48"/>
      <w:szCs w:val="32"/>
      <w:lang w:eastAsia="en-US"/>
    </w:rPr>
  </w:style>
  <w:style w:type="paragraph" w:customStyle="1" w:styleId="Titulkaervennadpis">
    <w:name w:val="Titulka červený nadpis"/>
    <w:basedOn w:val="Titulkamodrnadpis"/>
    <w:next w:val="Odstavec"/>
    <w:link w:val="TitulkaervennadpisChar"/>
    <w:qFormat/>
    <w:rsid w:val="00286E08"/>
    <w:rPr>
      <w:color w:val="E02C1F"/>
    </w:rPr>
  </w:style>
  <w:style w:type="paragraph" w:customStyle="1" w:styleId="Tirmodrtext">
    <w:name w:val="Tiráž modrý text"/>
    <w:basedOn w:val="Normln"/>
    <w:next w:val="Tirerventext"/>
    <w:link w:val="TirmodrtextChar"/>
    <w:qFormat/>
    <w:rsid w:val="00286E08"/>
    <w:pPr>
      <w:keepNext/>
      <w:tabs>
        <w:tab w:val="left" w:pos="567"/>
        <w:tab w:val="right" w:leader="dot" w:pos="10206"/>
      </w:tabs>
      <w:spacing w:before="0" w:line="240" w:lineRule="auto"/>
    </w:pPr>
    <w:rPr>
      <w:rFonts w:eastAsiaTheme="minorHAnsi"/>
      <w:b/>
      <w:color w:val="233060"/>
      <w:lang w:eastAsia="en-US"/>
    </w:rPr>
  </w:style>
  <w:style w:type="character" w:customStyle="1" w:styleId="TitulkaervennadpisChar">
    <w:name w:val="Titulka červený nadpis Char"/>
    <w:basedOn w:val="TitulkamodrnadpisChar"/>
    <w:link w:val="Titulkaervennadpis"/>
    <w:rsid w:val="00286E08"/>
    <w:rPr>
      <w:rFonts w:eastAsiaTheme="minorHAnsi"/>
      <w:b/>
      <w:caps/>
      <w:color w:val="E02C1F"/>
      <w:sz w:val="48"/>
      <w:szCs w:val="32"/>
      <w:lang w:eastAsia="en-US"/>
    </w:rPr>
  </w:style>
  <w:style w:type="character" w:customStyle="1" w:styleId="TirmodrtextChar">
    <w:name w:val="Tiráž modrý text Char"/>
    <w:basedOn w:val="Standardnpsmoodstavce"/>
    <w:link w:val="Tirmodrtext"/>
    <w:rsid w:val="00286E08"/>
    <w:rPr>
      <w:rFonts w:eastAsiaTheme="minorHAnsi"/>
      <w:b/>
      <w:color w:val="233060"/>
      <w:lang w:eastAsia="en-US"/>
    </w:rPr>
  </w:style>
  <w:style w:type="paragraph" w:customStyle="1" w:styleId="Tirerventext">
    <w:name w:val="Tiráž červený text"/>
    <w:basedOn w:val="Tirmodrtext"/>
    <w:link w:val="TirerventextChar"/>
    <w:qFormat/>
    <w:rsid w:val="00286E08"/>
    <w:rPr>
      <w:color w:val="E02C1F"/>
    </w:rPr>
  </w:style>
  <w:style w:type="character" w:customStyle="1" w:styleId="TirerventextChar">
    <w:name w:val="Tiráž červený text Char"/>
    <w:basedOn w:val="TirmodrtextChar"/>
    <w:link w:val="Tirerventext"/>
    <w:rsid w:val="00286E08"/>
    <w:rPr>
      <w:rFonts w:eastAsiaTheme="minorHAnsi"/>
      <w:b/>
      <w:color w:val="E02C1F"/>
      <w:lang w:eastAsia="en-US"/>
    </w:rPr>
  </w:style>
  <w:style w:type="paragraph" w:customStyle="1" w:styleId="Hypodkaz">
    <w:name w:val="Hyp. odkaz"/>
    <w:basedOn w:val="Normln"/>
    <w:link w:val="HypodkazChar"/>
    <w:rsid w:val="00286E08"/>
    <w:pPr>
      <w:tabs>
        <w:tab w:val="left" w:pos="1418"/>
        <w:tab w:val="right" w:leader="dot" w:pos="10206"/>
      </w:tabs>
      <w:spacing w:before="0" w:after="60" w:line="240" w:lineRule="auto"/>
    </w:pPr>
    <w:rPr>
      <w:rFonts w:eastAsiaTheme="minorHAnsi"/>
      <w:lang w:eastAsia="en-US"/>
    </w:rPr>
  </w:style>
  <w:style w:type="character" w:customStyle="1" w:styleId="HypodkazChar">
    <w:name w:val="Hyp. odkaz Char"/>
    <w:basedOn w:val="Standardnpsmoodstavce"/>
    <w:link w:val="Hypodkaz"/>
    <w:rsid w:val="00286E08"/>
    <w:rPr>
      <w:rFonts w:eastAsiaTheme="minorHAnsi"/>
      <w:lang w:eastAsia="en-US"/>
    </w:rPr>
  </w:style>
  <w:style w:type="paragraph" w:customStyle="1" w:styleId="NadpisXXXX">
    <w:name w:val="Nadpis (X.X.X.X)"/>
    <w:basedOn w:val="Normln"/>
    <w:next w:val="Odstavec"/>
    <w:qFormat/>
    <w:rsid w:val="00286E08"/>
    <w:pPr>
      <w:keepNext/>
      <w:keepLines/>
      <w:spacing w:before="480" w:line="240" w:lineRule="auto"/>
      <w:ind w:left="851" w:hanging="851"/>
    </w:pPr>
    <w:rPr>
      <w:rFonts w:eastAsiaTheme="minorHAnsi"/>
      <w:b/>
      <w:color w:val="233060"/>
      <w:lang w:eastAsia="en-US"/>
    </w:rPr>
  </w:style>
  <w:style w:type="paragraph" w:customStyle="1" w:styleId="Nadpisbezsla">
    <w:name w:val="Nadpis (bez čísla)"/>
    <w:basedOn w:val="Normln"/>
    <w:next w:val="Normln"/>
    <w:qFormat/>
    <w:rsid w:val="00286E08"/>
    <w:pPr>
      <w:keepNext/>
      <w:spacing w:before="240" w:line="240" w:lineRule="auto"/>
    </w:pPr>
    <w:rPr>
      <w:rFonts w:eastAsiaTheme="minorHAnsi"/>
      <w:b/>
      <w:color w:val="23306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711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11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11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11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1182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85617"/>
    <w:pPr>
      <w:ind w:left="720"/>
      <w:contextualSpacing/>
    </w:pPr>
  </w:style>
  <w:style w:type="paragraph" w:customStyle="1" w:styleId="Odrkyslo">
    <w:name w:val="Odrážky číslo"/>
    <w:basedOn w:val="Normln"/>
    <w:qFormat/>
    <w:rsid w:val="00685617"/>
    <w:pPr>
      <w:numPr>
        <w:numId w:val="9"/>
      </w:numPr>
      <w:spacing w:before="120" w:line="240" w:lineRule="auto"/>
      <w:ind w:left="425" w:hanging="425"/>
      <w:contextualSpacing/>
    </w:pPr>
    <w:rPr>
      <w:rFonts w:eastAsiaTheme="minorHAnsi"/>
      <w:lang w:eastAsia="en-US"/>
    </w:rPr>
  </w:style>
  <w:style w:type="paragraph" w:customStyle="1" w:styleId="Odrkypsmeno">
    <w:name w:val="Odrážky písmeno"/>
    <w:basedOn w:val="Normln"/>
    <w:qFormat/>
    <w:rsid w:val="00685617"/>
    <w:pPr>
      <w:numPr>
        <w:numId w:val="10"/>
      </w:numPr>
      <w:spacing w:before="120" w:line="240" w:lineRule="auto"/>
      <w:contextualSpacing/>
    </w:pPr>
    <w:rPr>
      <w:rFonts w:eastAsiaTheme="minorHAnsi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1D568D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580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basedOn w:val="Normln"/>
    <w:uiPriority w:val="1"/>
    <w:qFormat/>
    <w:rsid w:val="00B84FE2"/>
    <w:pPr>
      <w:spacing w:before="0" w:after="0" w:line="240" w:lineRule="auto"/>
      <w:jc w:val="both"/>
    </w:pPr>
    <w:rPr>
      <w:rFonts w:eastAsiaTheme="minorHAnsi" w:cstheme="minorBidi"/>
      <w:lang w:eastAsia="en-US"/>
    </w:rPr>
  </w:style>
  <w:style w:type="character" w:styleId="Siln">
    <w:name w:val="Strong"/>
    <w:basedOn w:val="Standardnpsmoodstavce"/>
    <w:uiPriority w:val="22"/>
    <w:qFormat/>
    <w:rsid w:val="00B1017C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DB6B9C"/>
    <w:rPr>
      <w:color w:val="E02C1F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17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3E7C01"/>
  </w:style>
  <w:style w:type="character" w:customStyle="1" w:styleId="ui-provider">
    <w:name w:val="ui-provider"/>
    <w:basedOn w:val="Standardnpsmoodstavce"/>
    <w:rsid w:val="00650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6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387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0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ru.gov.cz/ctvrtletni-zprava-o-provozu-elektrizacni-soustavy-cr-za-ii-ctvrtleti-202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ru.gov.cz/ctvrtletni-zprava-o-provozu-plynarenske-soustavy-cr-za-ii-ctvrtleti-2025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iskove@eru.gov.cz" TargetMode="External"/><Relationship Id="rId2" Type="http://schemas.openxmlformats.org/officeDocument/2006/relationships/hyperlink" Target="mailto:podatelna@eru.gov.cz" TargetMode="External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tiskove@eru.gov.cz" TargetMode="External"/><Relationship Id="rId2" Type="http://schemas.openxmlformats.org/officeDocument/2006/relationships/hyperlink" Target="mailto:podatelna@eru.gov.cz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bort\Desktop\20240924_TZ_vraceni_preplatku_prodej_zavodu.dotx" TargetMode="External"/></Relationships>
</file>

<file path=word/theme/theme1.xml><?xml version="1.0" encoding="utf-8"?>
<a:theme xmlns:a="http://schemas.openxmlformats.org/drawingml/2006/main" name="Motiv_ERU_220319">
  <a:themeElements>
    <a:clrScheme name="ERU">
      <a:dk1>
        <a:srgbClr val="262626"/>
      </a:dk1>
      <a:lt1>
        <a:sysClr val="window" lastClr="FFFFFF"/>
      </a:lt1>
      <a:dk2>
        <a:srgbClr val="23315F"/>
      </a:dk2>
      <a:lt2>
        <a:srgbClr val="D0D0D0"/>
      </a:lt2>
      <a:accent1>
        <a:srgbClr val="23315F"/>
      </a:accent1>
      <a:accent2>
        <a:srgbClr val="5A6588"/>
      </a:accent2>
      <a:accent3>
        <a:srgbClr val="9198B0"/>
      </a:accent3>
      <a:accent4>
        <a:srgbClr val="C8CBD7"/>
      </a:accent4>
      <a:accent5>
        <a:srgbClr val="E02C1F"/>
      </a:accent5>
      <a:accent6>
        <a:srgbClr val="E86158"/>
      </a:accent6>
      <a:hlink>
        <a:srgbClr val="0563C1"/>
      </a:hlink>
      <a:folHlink>
        <a:srgbClr val="E02C1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tiv_ERU_220319" id="{5844BF3C-C1CC-4017-B07E-750FE5A171E3}" vid="{B533C786-E6FB-4737-89ED-7118B0121C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D090A6D2E6984FA965C5E78CB77039" ma:contentTypeVersion="3" ma:contentTypeDescription="Vytvořit nový dokument" ma:contentTypeScope="" ma:versionID="973eca58c073ae2600bfac7e3476526b">
  <xsd:schema xmlns:xsd="http://www.w3.org/2001/XMLSchema" xmlns:xs="http://www.w3.org/2001/XMLSchema" xmlns:p="http://schemas.microsoft.com/office/2006/metadata/properties" xmlns:ns2="404656bf-f2b8-413e-853a-a7068af03b92" xmlns:ns3="f32210cd-666d-4d11-ab48-bfef9714ab3b" targetNamespace="http://schemas.microsoft.com/office/2006/metadata/properties" ma:root="true" ma:fieldsID="e3ca6a062d3e1f598796bc6f19042af7" ns2:_="" ns3:_="">
    <xsd:import namespace="404656bf-f2b8-413e-853a-a7068af03b92"/>
    <xsd:import namespace="f32210cd-666d-4d11-ab48-bfef9714ab3b"/>
    <xsd:element name="properties">
      <xsd:complexType>
        <xsd:sequence>
          <xsd:element name="documentManagement">
            <xsd:complexType>
              <xsd:all>
                <xsd:element ref="ns2:Kategori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56bf-f2b8-413e-853a-a7068af03b92" elementFormDefault="qualified">
    <xsd:import namespace="http://schemas.microsoft.com/office/2006/documentManagement/types"/>
    <xsd:import namespace="http://schemas.microsoft.com/office/infopath/2007/PartnerControls"/>
    <xsd:element name="Kategorie" ma:index="8" nillable="true" ma:displayName="Oblast" ma:format="RadioButtons" ma:internalName="Kategorie">
      <xsd:simpleType>
        <xsd:restriction base="dms:Choice">
          <xsd:enumeration value="Spisová služba"/>
          <xsd:enumeration value="Kontroly"/>
          <xsd:enumeration value="Majetek"/>
          <xsd:enumeration value="Finanční"/>
          <xsd:enumeration value="Personální"/>
          <xsd:enumeration value="Porady vedení a informace"/>
          <xsd:enumeration value="Pracovní cesty"/>
          <xsd:enumeration value="Stížnosti"/>
          <xsd:enumeration value="Provoz úřadu"/>
          <xsd:enumeration value="Legislativní proces"/>
          <xsd:enumeration value="Veřejné zakázky"/>
          <xsd:enumeration value="Rada ERÚ"/>
          <xsd:enumeration value="Komunikace"/>
          <xsd:enumeration value="GDP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210cd-666d-4d11-ab48-bfef9714ab3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404656bf-f2b8-413e-853a-a7068af03b92">Spisová služba</Kategorie>
    <SharedWithUsers xmlns="f32210cd-666d-4d11-ab48-bfef9714ab3b">
      <UserInfo>
        <DisplayName>Tesař Richard Ing.</DisplayName>
        <AccountId>23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F4872-85A1-4AEC-B827-203B6B01FE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D7065A-ECBE-4938-92F2-EB6ECF352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4656bf-f2b8-413e-853a-a7068af03b92"/>
    <ds:schemaRef ds:uri="f32210cd-666d-4d11-ab48-bfef9714ab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5447E1-6BD9-4072-923F-424EF3652C19}">
  <ds:schemaRefs>
    <ds:schemaRef ds:uri="http://schemas.microsoft.com/office/2006/metadata/properties"/>
    <ds:schemaRef ds:uri="http://schemas.microsoft.com/office/infopath/2007/PartnerControls"/>
    <ds:schemaRef ds:uri="404656bf-f2b8-413e-853a-a7068af03b92"/>
    <ds:schemaRef ds:uri="f32210cd-666d-4d11-ab48-bfef9714ab3b"/>
  </ds:schemaRefs>
</ds:datastoreItem>
</file>

<file path=customXml/itemProps4.xml><?xml version="1.0" encoding="utf-8"?>
<ds:datastoreItem xmlns:ds="http://schemas.openxmlformats.org/officeDocument/2006/customXml" ds:itemID="{35CEBDB0-EB04-49A4-9D4B-F9005E3B7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20240924_TZ_vraceni_preplatku_prodej_zavodu.dotx</Template>
  <TotalTime>0</TotalTime>
  <Pages>2</Pages>
  <Words>546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Zjednodušený dokument - Na výšku</vt:lpstr>
    </vt:vector>
  </TitlesOfParts>
  <Company>Microsoft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Zjednodušený dokument - Na výšku</dc:title>
  <dc:subject/>
  <dc:creator>Liška Jan Ing.</dc:creator>
  <cp:keywords/>
  <cp:lastModifiedBy>Hamrník Jan Mgr.</cp:lastModifiedBy>
  <cp:revision>2</cp:revision>
  <cp:lastPrinted>2025-05-19T05:39:00Z</cp:lastPrinted>
  <dcterms:created xsi:type="dcterms:W3CDTF">2025-08-20T05:48:00Z</dcterms:created>
  <dcterms:modified xsi:type="dcterms:W3CDTF">2025-08-20T05:48:00Z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0x010100F3D090A6D2E6984FA965C5E78CB77039</vt:lpwstr>
  </property>
  <property fmtid="{D5CDD505-2E9C-101B-9397-08002B2CF9AE}" pid="3" name="Kategorie">
    <vt:lpwstr>Spisová služba</vt:lpwstr>
  </property>
</Properties>
</file>