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730E" w14:textId="3EA57210" w:rsidR="00B84FE2" w:rsidRPr="00B84FE2" w:rsidRDefault="006136E0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ERú varuje před praktikami některých dodavatelů, kteří spotřebitelům znemožňují odstoupit od smlouvy  </w:t>
      </w:r>
    </w:p>
    <w:p w14:paraId="74BD95E2" w14:textId="53D27F43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zpráva,</w:t>
      </w:r>
      <w:r w:rsidR="00535C5E">
        <w:rPr>
          <w:lang w:eastAsia="en-US"/>
        </w:rPr>
        <w:t xml:space="preserve"> 24</w:t>
      </w:r>
      <w:r w:rsidRPr="009030F3">
        <w:rPr>
          <w:lang w:eastAsia="en-US"/>
        </w:rPr>
        <w:t>.</w:t>
      </w:r>
      <w:r w:rsidR="00E6084E" w:rsidRPr="009030F3">
        <w:rPr>
          <w:lang w:eastAsia="en-US"/>
        </w:rPr>
        <w:t>0</w:t>
      </w:r>
      <w:r w:rsidR="00535C5E">
        <w:rPr>
          <w:lang w:eastAsia="en-US"/>
        </w:rPr>
        <w:t>6</w:t>
      </w:r>
      <w:r w:rsidRPr="009030F3">
        <w:rPr>
          <w:lang w:eastAsia="en-US"/>
        </w:rPr>
        <w:t>.202</w:t>
      </w:r>
      <w:r w:rsidR="00E6084E" w:rsidRPr="009030F3">
        <w:rPr>
          <w:lang w:eastAsia="en-US"/>
        </w:rPr>
        <w:t>5</w:t>
      </w:r>
    </w:p>
    <w:p w14:paraId="7D9EFBFD" w14:textId="255FD14F" w:rsidR="006136E0" w:rsidRDefault="00C23FA7" w:rsidP="00A30AE7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Energetický regulační úřad (ERÚ)</w:t>
      </w:r>
      <w:r w:rsidR="008106C2">
        <w:rPr>
          <w:rFonts w:cstheme="minorHAnsi"/>
          <w:b/>
          <w:i/>
        </w:rPr>
        <w:t xml:space="preserve"> </w:t>
      </w:r>
      <w:r w:rsidR="00AA674D">
        <w:rPr>
          <w:rFonts w:cstheme="minorHAnsi"/>
          <w:b/>
          <w:i/>
        </w:rPr>
        <w:t>poslední dobou</w:t>
      </w:r>
      <w:r w:rsidR="008106C2">
        <w:rPr>
          <w:rFonts w:cstheme="minorHAnsi"/>
          <w:b/>
          <w:i/>
        </w:rPr>
        <w:t xml:space="preserve"> naráží na novou praktiku </w:t>
      </w:r>
      <w:r w:rsidR="008104E4">
        <w:rPr>
          <w:rFonts w:cstheme="minorHAnsi"/>
          <w:b/>
          <w:i/>
        </w:rPr>
        <w:t xml:space="preserve">projevující se v obchodních podmínkách </w:t>
      </w:r>
      <w:r w:rsidR="005B077A">
        <w:rPr>
          <w:rFonts w:cstheme="minorHAnsi"/>
          <w:b/>
          <w:i/>
        </w:rPr>
        <w:t xml:space="preserve">a </w:t>
      </w:r>
      <w:r w:rsidR="006C6FAE">
        <w:rPr>
          <w:rFonts w:cstheme="minorHAnsi"/>
          <w:b/>
          <w:i/>
        </w:rPr>
        <w:t xml:space="preserve">někdy i v jednání </w:t>
      </w:r>
      <w:r w:rsidR="008106C2">
        <w:rPr>
          <w:rFonts w:cstheme="minorHAnsi"/>
          <w:b/>
          <w:i/>
        </w:rPr>
        <w:t>některých dodavatelů</w:t>
      </w:r>
      <w:r w:rsidR="008D4AD5">
        <w:rPr>
          <w:rFonts w:cstheme="minorHAnsi"/>
          <w:b/>
          <w:i/>
        </w:rPr>
        <w:t>. Ti</w:t>
      </w:r>
      <w:r w:rsidR="00D032E1">
        <w:rPr>
          <w:rFonts w:cstheme="minorHAnsi"/>
          <w:b/>
          <w:i/>
        </w:rPr>
        <w:t xml:space="preserve"> svým </w:t>
      </w:r>
      <w:r w:rsidR="008C265E">
        <w:rPr>
          <w:rFonts w:cstheme="minorHAnsi"/>
          <w:b/>
          <w:i/>
        </w:rPr>
        <w:t xml:space="preserve">zákazníkům </w:t>
      </w:r>
      <w:r w:rsidR="00D032E1">
        <w:rPr>
          <w:rFonts w:cstheme="minorHAnsi"/>
          <w:b/>
          <w:i/>
        </w:rPr>
        <w:t>upírají možnost v zákonné lhůtě odstoupit</w:t>
      </w:r>
      <w:r w:rsidR="001A7167">
        <w:rPr>
          <w:rFonts w:cstheme="minorHAnsi"/>
          <w:b/>
          <w:i/>
        </w:rPr>
        <w:t xml:space="preserve"> od smlouvy</w:t>
      </w:r>
      <w:r w:rsidR="00D032E1">
        <w:rPr>
          <w:rFonts w:cstheme="minorHAnsi"/>
          <w:b/>
          <w:i/>
        </w:rPr>
        <w:t>. Děje se tak v</w:t>
      </w:r>
      <w:r w:rsidR="006136E0">
        <w:rPr>
          <w:rFonts w:cstheme="minorHAnsi"/>
          <w:b/>
          <w:i/>
        </w:rPr>
        <w:t> </w:t>
      </w:r>
      <w:r w:rsidR="00D032E1">
        <w:rPr>
          <w:rFonts w:cstheme="minorHAnsi"/>
          <w:b/>
          <w:i/>
        </w:rPr>
        <w:t>situacích</w:t>
      </w:r>
      <w:r w:rsidR="006136E0">
        <w:rPr>
          <w:rFonts w:cstheme="minorHAnsi"/>
          <w:b/>
          <w:i/>
        </w:rPr>
        <w:t xml:space="preserve">, kdy spotřebitelé zvažují odchod k jinému obchodníkovi. Podle ERÚ je takový postup za hranou zákona a </w:t>
      </w:r>
      <w:r w:rsidR="00144034">
        <w:rPr>
          <w:rFonts w:cstheme="minorHAnsi"/>
          <w:b/>
          <w:i/>
        </w:rPr>
        <w:t xml:space="preserve">dodavatelům za něj hrozí sankce. </w:t>
      </w:r>
      <w:bookmarkStart w:id="0" w:name="_GoBack"/>
      <w:bookmarkEnd w:id="0"/>
    </w:p>
    <w:p w14:paraId="0EB17943" w14:textId="64808E95" w:rsidR="009C0229" w:rsidRDefault="008726F2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>Scénář je většinou stejný: Spotřebitel</w:t>
      </w:r>
      <w:r w:rsidR="00270C0A">
        <w:rPr>
          <w:rFonts w:cstheme="minorHAnsi"/>
        </w:rPr>
        <w:t>i s</w:t>
      </w:r>
      <w:r w:rsidR="00536554">
        <w:rPr>
          <w:rFonts w:cstheme="minorHAnsi"/>
        </w:rPr>
        <w:t xml:space="preserve"> </w:t>
      </w:r>
      <w:r w:rsidR="00270C0A">
        <w:rPr>
          <w:rFonts w:cstheme="minorHAnsi"/>
        </w:rPr>
        <w:t xml:space="preserve">dodavatelem </w:t>
      </w:r>
      <w:r w:rsidR="00536554">
        <w:rPr>
          <w:rFonts w:cstheme="minorHAnsi"/>
        </w:rPr>
        <w:t xml:space="preserve">energie </w:t>
      </w:r>
      <w:r w:rsidR="00270C0A">
        <w:rPr>
          <w:rFonts w:cstheme="minorHAnsi"/>
        </w:rPr>
        <w:t xml:space="preserve">končí smlouva a </w:t>
      </w:r>
      <w:r w:rsidR="00536554">
        <w:rPr>
          <w:rFonts w:cstheme="minorHAnsi"/>
        </w:rPr>
        <w:t xml:space="preserve">on se </w:t>
      </w:r>
      <w:r w:rsidR="00270C0A">
        <w:rPr>
          <w:rFonts w:cstheme="minorHAnsi"/>
        </w:rPr>
        <w:t xml:space="preserve">rozhodne s ním uzavřít </w:t>
      </w:r>
      <w:r w:rsidR="00536554">
        <w:rPr>
          <w:rFonts w:cstheme="minorHAnsi"/>
        </w:rPr>
        <w:t xml:space="preserve">smlouvu </w:t>
      </w:r>
      <w:r w:rsidR="00270C0A">
        <w:rPr>
          <w:rFonts w:cstheme="minorHAnsi"/>
        </w:rPr>
        <w:t xml:space="preserve">novou. Následně však své rozhodnutí přehodnotí a chce obchodníka změnit. </w:t>
      </w:r>
      <w:r w:rsidR="00536554">
        <w:rPr>
          <w:rFonts w:cstheme="minorHAnsi"/>
        </w:rPr>
        <w:t>Stávající dodavatel</w:t>
      </w:r>
      <w:r w:rsidR="00B071A9">
        <w:rPr>
          <w:rFonts w:cstheme="minorHAnsi"/>
        </w:rPr>
        <w:t xml:space="preserve"> mu ale mezitím začne dodávat elektřinu </w:t>
      </w:r>
      <w:r w:rsidR="00536554">
        <w:rPr>
          <w:rFonts w:cstheme="minorHAnsi"/>
        </w:rPr>
        <w:t>či</w:t>
      </w:r>
      <w:r w:rsidR="00B071A9">
        <w:rPr>
          <w:rFonts w:cstheme="minorHAnsi"/>
        </w:rPr>
        <w:t xml:space="preserve"> plyn podle nové smlouvy</w:t>
      </w:r>
      <w:r w:rsidR="00AD3C91">
        <w:rPr>
          <w:rFonts w:cstheme="minorHAnsi"/>
        </w:rPr>
        <w:t xml:space="preserve"> na základě ujednání, že dodávku zahájí před uplynutím lhůty pro odstoupení od smlouvy</w:t>
      </w:r>
      <w:r w:rsidR="00536554">
        <w:rPr>
          <w:rFonts w:cstheme="minorHAnsi"/>
        </w:rPr>
        <w:t xml:space="preserve">. To </w:t>
      </w:r>
      <w:r w:rsidR="00B071A9">
        <w:rPr>
          <w:rFonts w:cstheme="minorHAnsi"/>
        </w:rPr>
        <w:t xml:space="preserve">je podle něj důvod k tomu, že závazek už nelze </w:t>
      </w:r>
      <w:r w:rsidR="00072844">
        <w:rPr>
          <w:rFonts w:cstheme="minorHAnsi"/>
        </w:rPr>
        <w:t xml:space="preserve">odstoupením od smlouvy </w:t>
      </w:r>
      <w:r w:rsidR="0077575C">
        <w:rPr>
          <w:rFonts w:cstheme="minorHAnsi"/>
        </w:rPr>
        <w:t xml:space="preserve">bez sankce </w:t>
      </w:r>
      <w:r w:rsidR="00B071A9">
        <w:rPr>
          <w:rFonts w:cstheme="minorHAnsi"/>
        </w:rPr>
        <w:t xml:space="preserve">ukončit.    </w:t>
      </w:r>
    </w:p>
    <w:p w14:paraId="74E0E2DA" w14:textId="35F90852" w:rsidR="00B071A9" w:rsidRDefault="009C0229" w:rsidP="00A30AE7">
      <w:pPr>
        <w:widowControl w:val="0"/>
        <w:jc w:val="both"/>
        <w:rPr>
          <w:rFonts w:cstheme="minorHAnsi"/>
        </w:rPr>
      </w:pPr>
      <w:r w:rsidRPr="00E433DF">
        <w:rPr>
          <w:rFonts w:cstheme="minorHAnsi"/>
          <w:i/>
        </w:rPr>
        <w:t>„Pokud spotřebitel smlouvu na dodávku energi</w:t>
      </w:r>
      <w:r w:rsidR="00E433DF" w:rsidRPr="00E433DF">
        <w:rPr>
          <w:rFonts w:cstheme="minorHAnsi"/>
          <w:i/>
        </w:rPr>
        <w:t>e</w:t>
      </w:r>
      <w:r w:rsidRPr="00E433DF">
        <w:rPr>
          <w:rFonts w:cstheme="minorHAnsi"/>
          <w:i/>
        </w:rPr>
        <w:t xml:space="preserve"> uzavře distančním způsobem, typicky on-line, nebo mimo obchodní prostory, má obecně možnost od ní po </w:t>
      </w:r>
      <w:r w:rsidR="00072844">
        <w:rPr>
          <w:rFonts w:cstheme="minorHAnsi"/>
          <w:i/>
        </w:rPr>
        <w:t xml:space="preserve">jejím </w:t>
      </w:r>
      <w:r w:rsidRPr="00E433DF">
        <w:rPr>
          <w:rFonts w:cstheme="minorHAnsi"/>
          <w:i/>
        </w:rPr>
        <w:t>podpisu odstoupit.</w:t>
      </w:r>
      <w:r w:rsidR="00B071A9" w:rsidRPr="00E433DF">
        <w:rPr>
          <w:rFonts w:cstheme="minorHAnsi"/>
          <w:i/>
        </w:rPr>
        <w:t xml:space="preserve"> Konkrétně ve čtrnáctidenní lhůtě. Někteří obchodníci ale do smluv přidávají ujednání, že v</w:t>
      </w:r>
      <w:r w:rsidR="00295FF2">
        <w:rPr>
          <w:rFonts w:cstheme="minorHAnsi"/>
          <w:i/>
        </w:rPr>
        <w:t> </w:t>
      </w:r>
      <w:r w:rsidR="00B071A9" w:rsidRPr="00E433DF">
        <w:rPr>
          <w:rFonts w:cstheme="minorHAnsi"/>
          <w:i/>
        </w:rPr>
        <w:t>případě</w:t>
      </w:r>
      <w:r w:rsidR="00295FF2">
        <w:rPr>
          <w:rFonts w:cstheme="minorHAnsi"/>
          <w:i/>
        </w:rPr>
        <w:t>, že mezitím došlo k</w:t>
      </w:r>
      <w:r w:rsidR="00B071A9" w:rsidRPr="00E433DF">
        <w:rPr>
          <w:rFonts w:cstheme="minorHAnsi"/>
          <w:i/>
        </w:rPr>
        <w:t xml:space="preserve"> zahájení dodávky </w:t>
      </w:r>
      <w:r w:rsidR="00536554">
        <w:rPr>
          <w:rFonts w:cstheme="minorHAnsi"/>
          <w:i/>
        </w:rPr>
        <w:t xml:space="preserve">elektřiny </w:t>
      </w:r>
      <w:r w:rsidR="00B071A9" w:rsidRPr="00E433DF">
        <w:rPr>
          <w:rFonts w:cstheme="minorHAnsi"/>
          <w:i/>
        </w:rPr>
        <w:t xml:space="preserve">nebo </w:t>
      </w:r>
      <w:r w:rsidR="00E433DF" w:rsidRPr="00E433DF">
        <w:rPr>
          <w:rFonts w:cstheme="minorHAnsi"/>
          <w:i/>
        </w:rPr>
        <w:t>plynu zákazníkovi</w:t>
      </w:r>
      <w:r w:rsidR="000B5B07">
        <w:rPr>
          <w:rFonts w:cstheme="minorHAnsi"/>
          <w:i/>
        </w:rPr>
        <w:t>,</w:t>
      </w:r>
      <w:r w:rsidR="00E433DF" w:rsidRPr="00E433DF">
        <w:rPr>
          <w:rFonts w:cstheme="minorHAnsi"/>
          <w:i/>
        </w:rPr>
        <w:t xml:space="preserve"> </w:t>
      </w:r>
      <w:r w:rsidR="00536554">
        <w:rPr>
          <w:rFonts w:cstheme="minorHAnsi"/>
          <w:i/>
        </w:rPr>
        <w:t xml:space="preserve">pak </w:t>
      </w:r>
      <w:r w:rsidR="00E433DF" w:rsidRPr="00E433DF">
        <w:rPr>
          <w:rFonts w:cstheme="minorHAnsi"/>
          <w:i/>
        </w:rPr>
        <w:t>toto právo zaniká. S tím zásadně nesouhlasíme a domníváme se, že tím obcházejí občanský zákoník</w:t>
      </w:r>
      <w:r w:rsidR="00144034">
        <w:rPr>
          <w:rFonts w:cstheme="minorHAnsi"/>
          <w:i/>
        </w:rPr>
        <w:t>. Na tyto praktiky se zaměříme při našich kontrolách, dodavatelům za ně hrozí sankce,</w:t>
      </w:r>
      <w:r w:rsidR="00E433DF" w:rsidRPr="00E433DF">
        <w:rPr>
          <w:rFonts w:cstheme="minorHAnsi"/>
          <w:i/>
        </w:rPr>
        <w:t>“</w:t>
      </w:r>
      <w:r w:rsidR="00E433DF">
        <w:rPr>
          <w:rFonts w:cstheme="minorHAnsi"/>
        </w:rPr>
        <w:t xml:space="preserve"> říká </w:t>
      </w:r>
      <w:r w:rsidR="00E433DF" w:rsidRPr="00343ACC">
        <w:rPr>
          <w:b/>
        </w:rPr>
        <w:t>Markéta Zemanová, členka Rady ERÚ</w:t>
      </w:r>
      <w:r w:rsidR="00E433DF">
        <w:rPr>
          <w:rFonts w:cstheme="minorHAnsi"/>
        </w:rPr>
        <w:t xml:space="preserve"> </w:t>
      </w:r>
    </w:p>
    <w:p w14:paraId="4E52E632" w14:textId="1033BD36" w:rsidR="00144034" w:rsidRDefault="00E433DF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Jak ERÚ podrobně vysvětluje ve svém </w:t>
      </w:r>
      <w:hyperlink r:id="rId13" w:history="1">
        <w:r w:rsidRPr="00D12405">
          <w:rPr>
            <w:rStyle w:val="Hypertextovodkaz"/>
            <w:rFonts w:cstheme="minorHAnsi"/>
          </w:rPr>
          <w:t>výkladovém</w:t>
        </w:r>
        <w:r w:rsidRPr="00D12405">
          <w:rPr>
            <w:rStyle w:val="Hypertextovodkaz"/>
            <w:rFonts w:cstheme="minorHAnsi"/>
          </w:rPr>
          <w:t xml:space="preserve"> </w:t>
        </w:r>
        <w:r w:rsidRPr="00D12405">
          <w:rPr>
            <w:rStyle w:val="Hypertextovodkaz"/>
            <w:rFonts w:cstheme="minorHAnsi"/>
          </w:rPr>
          <w:t>stanovisku</w:t>
        </w:r>
      </w:hyperlink>
      <w:r w:rsidRPr="005B58C4">
        <w:rPr>
          <w:rFonts w:cstheme="minorHAnsi"/>
        </w:rPr>
        <w:t>,</w:t>
      </w:r>
      <w:r>
        <w:rPr>
          <w:rFonts w:cstheme="minorHAnsi"/>
        </w:rPr>
        <w:t xml:space="preserve"> k</w:t>
      </w:r>
      <w:r w:rsidRPr="00E433DF">
        <w:rPr>
          <w:rFonts w:cstheme="minorHAnsi"/>
        </w:rPr>
        <w:t xml:space="preserve"> zániku práva na odstoupení </w:t>
      </w:r>
      <w:r w:rsidR="00144034">
        <w:rPr>
          <w:rFonts w:cstheme="minorHAnsi"/>
        </w:rPr>
        <w:t xml:space="preserve">od </w:t>
      </w:r>
      <w:r>
        <w:rPr>
          <w:rFonts w:cstheme="minorHAnsi"/>
        </w:rPr>
        <w:t>smlouvy</w:t>
      </w:r>
      <w:r w:rsidR="00BC2C47">
        <w:rPr>
          <w:rFonts w:cstheme="minorHAnsi"/>
        </w:rPr>
        <w:t xml:space="preserve"> </w:t>
      </w:r>
      <w:r w:rsidRPr="00E433DF">
        <w:rPr>
          <w:rFonts w:cstheme="minorHAnsi"/>
        </w:rPr>
        <w:t>nestač</w:t>
      </w:r>
      <w:r w:rsidR="00144034">
        <w:rPr>
          <w:rFonts w:cstheme="minorHAnsi"/>
        </w:rPr>
        <w:t>í</w:t>
      </w:r>
      <w:r w:rsidRPr="00E433DF">
        <w:rPr>
          <w:rFonts w:cstheme="minorHAnsi"/>
        </w:rPr>
        <w:t xml:space="preserve"> pouze zahájení</w:t>
      </w:r>
      <w:r w:rsidR="00BC2C47">
        <w:rPr>
          <w:rFonts w:cstheme="minorHAnsi"/>
        </w:rPr>
        <w:t xml:space="preserve"> </w:t>
      </w:r>
      <w:r w:rsidR="00A94E5B">
        <w:rPr>
          <w:rFonts w:cstheme="minorHAnsi"/>
        </w:rPr>
        <w:t>dodávek energi</w:t>
      </w:r>
      <w:r w:rsidR="008D4AD5">
        <w:rPr>
          <w:rFonts w:cstheme="minorHAnsi"/>
        </w:rPr>
        <w:t>e</w:t>
      </w:r>
      <w:r w:rsidRPr="00E433DF">
        <w:rPr>
          <w:rFonts w:cstheme="minorHAnsi"/>
        </w:rPr>
        <w:t xml:space="preserve">, </w:t>
      </w:r>
      <w:r w:rsidR="00144034">
        <w:rPr>
          <w:rFonts w:cstheme="minorHAnsi"/>
        </w:rPr>
        <w:t xml:space="preserve">ale </w:t>
      </w:r>
      <w:r w:rsidRPr="00E433DF">
        <w:rPr>
          <w:rFonts w:cstheme="minorHAnsi"/>
        </w:rPr>
        <w:t>mus</w:t>
      </w:r>
      <w:r w:rsidR="00BC2C47">
        <w:rPr>
          <w:rFonts w:cstheme="minorHAnsi"/>
        </w:rPr>
        <w:t>el</w:t>
      </w:r>
      <w:r w:rsidR="0023780E">
        <w:rPr>
          <w:rFonts w:cstheme="minorHAnsi"/>
        </w:rPr>
        <w:t xml:space="preserve">o by dojít ke splnění smlouvy v plném rozsahu. </w:t>
      </w:r>
    </w:p>
    <w:p w14:paraId="0E992CA7" w14:textId="07D9199C" w:rsidR="00E433DF" w:rsidRDefault="00E433DF" w:rsidP="00A30AE7">
      <w:pPr>
        <w:widowControl w:val="0"/>
        <w:jc w:val="both"/>
        <w:rPr>
          <w:rFonts w:cstheme="minorHAnsi"/>
        </w:rPr>
      </w:pPr>
      <w:r w:rsidRPr="006617E9">
        <w:rPr>
          <w:rFonts w:cstheme="minorHAnsi"/>
          <w:i/>
        </w:rPr>
        <w:t>„</w:t>
      </w:r>
      <w:r w:rsidR="00BC2C47" w:rsidRPr="006617E9">
        <w:rPr>
          <w:rFonts w:cstheme="minorHAnsi"/>
          <w:i/>
        </w:rPr>
        <w:t xml:space="preserve">Spotřebitel by od smlouvy nemohl ve čtrnáctidenní lhůtě odstoupit pouze v případě, že by v té době už došlo k poskytnutí </w:t>
      </w:r>
      <w:r w:rsidR="00A94E5B">
        <w:rPr>
          <w:rFonts w:cstheme="minorHAnsi"/>
          <w:i/>
        </w:rPr>
        <w:t>dodávky energi</w:t>
      </w:r>
      <w:r w:rsidR="008D4AD5">
        <w:rPr>
          <w:rFonts w:cstheme="minorHAnsi"/>
          <w:i/>
        </w:rPr>
        <w:t>e</w:t>
      </w:r>
      <w:r w:rsidR="00A94E5B" w:rsidRPr="006617E9">
        <w:rPr>
          <w:rFonts w:cstheme="minorHAnsi"/>
          <w:i/>
        </w:rPr>
        <w:t xml:space="preserve"> </w:t>
      </w:r>
      <w:r w:rsidR="00BC2C47" w:rsidRPr="006617E9">
        <w:rPr>
          <w:rFonts w:cstheme="minorHAnsi"/>
          <w:i/>
        </w:rPr>
        <w:t xml:space="preserve">v plném rozsahu. Vzhledem k tomu, že </w:t>
      </w:r>
      <w:r w:rsidR="006617E9" w:rsidRPr="006617E9">
        <w:rPr>
          <w:rFonts w:cstheme="minorHAnsi"/>
          <w:i/>
        </w:rPr>
        <w:t xml:space="preserve">smlouva na </w:t>
      </w:r>
      <w:r w:rsidR="00BC2C47" w:rsidRPr="006617E9">
        <w:rPr>
          <w:rFonts w:cstheme="minorHAnsi"/>
          <w:i/>
        </w:rPr>
        <w:t>dodávk</w:t>
      </w:r>
      <w:r w:rsidR="006617E9" w:rsidRPr="006617E9">
        <w:rPr>
          <w:rFonts w:cstheme="minorHAnsi"/>
          <w:i/>
        </w:rPr>
        <w:t>u</w:t>
      </w:r>
      <w:r w:rsidR="00BC2C47" w:rsidRPr="006617E9">
        <w:rPr>
          <w:rFonts w:cstheme="minorHAnsi"/>
          <w:i/>
        </w:rPr>
        <w:t xml:space="preserve"> </w:t>
      </w:r>
      <w:r w:rsidR="006617E9" w:rsidRPr="006617E9">
        <w:rPr>
          <w:rFonts w:cstheme="minorHAnsi"/>
          <w:i/>
        </w:rPr>
        <w:t>elektřiny nebo plynu</w:t>
      </w:r>
      <w:r w:rsidR="00BC2C47" w:rsidRPr="006617E9">
        <w:rPr>
          <w:rFonts w:cstheme="minorHAnsi"/>
          <w:i/>
        </w:rPr>
        <w:t xml:space="preserve"> se</w:t>
      </w:r>
      <w:r w:rsidR="006617E9" w:rsidRPr="006617E9">
        <w:rPr>
          <w:rFonts w:cstheme="minorHAnsi"/>
          <w:i/>
        </w:rPr>
        <w:t xml:space="preserve"> </w:t>
      </w:r>
      <w:r w:rsidR="00B007F7">
        <w:rPr>
          <w:rFonts w:cstheme="minorHAnsi"/>
          <w:i/>
        </w:rPr>
        <w:t xml:space="preserve">uzavírá na delší období, </w:t>
      </w:r>
      <w:r w:rsidR="003E4D5E">
        <w:rPr>
          <w:rFonts w:cstheme="minorHAnsi"/>
          <w:i/>
        </w:rPr>
        <w:t>typicky</w:t>
      </w:r>
      <w:r w:rsidR="003E4D5E" w:rsidRPr="006617E9">
        <w:rPr>
          <w:rFonts w:cstheme="minorHAnsi"/>
          <w:i/>
        </w:rPr>
        <w:t xml:space="preserve"> </w:t>
      </w:r>
      <w:r w:rsidR="006617E9" w:rsidRPr="006617E9">
        <w:rPr>
          <w:rFonts w:cstheme="minorHAnsi"/>
          <w:i/>
        </w:rPr>
        <w:t>na dobu jednoho</w:t>
      </w:r>
      <w:r w:rsidR="009F1EFE">
        <w:rPr>
          <w:rFonts w:cstheme="minorHAnsi"/>
          <w:i/>
        </w:rPr>
        <w:t xml:space="preserve"> roku</w:t>
      </w:r>
      <w:r w:rsidR="006617E9" w:rsidRPr="006617E9">
        <w:rPr>
          <w:rFonts w:cstheme="minorHAnsi"/>
          <w:i/>
        </w:rPr>
        <w:t xml:space="preserve"> až tří let, </w:t>
      </w:r>
      <w:r w:rsidR="00E86D9C">
        <w:rPr>
          <w:rFonts w:cstheme="minorHAnsi"/>
          <w:i/>
        </w:rPr>
        <w:t xml:space="preserve">není </w:t>
      </w:r>
      <w:r w:rsidR="006617E9" w:rsidRPr="006617E9">
        <w:rPr>
          <w:rFonts w:cstheme="minorHAnsi"/>
          <w:i/>
        </w:rPr>
        <w:t>splnění takové podmínky</w:t>
      </w:r>
      <w:r w:rsidR="00E86D9C">
        <w:rPr>
          <w:rFonts w:cstheme="minorHAnsi"/>
          <w:i/>
        </w:rPr>
        <w:t xml:space="preserve"> reálně možné</w:t>
      </w:r>
      <w:r w:rsidR="006617E9" w:rsidRPr="006617E9">
        <w:rPr>
          <w:rFonts w:cstheme="minorHAnsi"/>
          <w:i/>
        </w:rPr>
        <w:t>,“</w:t>
      </w:r>
      <w:r w:rsidR="006617E9">
        <w:rPr>
          <w:rFonts w:cstheme="minorHAnsi"/>
        </w:rPr>
        <w:t xml:space="preserve"> zdůrazňuje </w:t>
      </w:r>
      <w:r w:rsidR="006617E9" w:rsidRPr="006617E9">
        <w:rPr>
          <w:rFonts w:cstheme="minorHAnsi"/>
          <w:b/>
        </w:rPr>
        <w:t>Jakub Med, ředitel sekce správních řízení ERÚ</w:t>
      </w:r>
      <w:r w:rsidR="006617E9" w:rsidRPr="006617E9">
        <w:rPr>
          <w:rFonts w:cstheme="minorHAnsi"/>
        </w:rPr>
        <w:t xml:space="preserve">. </w:t>
      </w:r>
      <w:r w:rsidR="006617E9">
        <w:rPr>
          <w:rFonts w:cstheme="minorHAnsi"/>
        </w:rPr>
        <w:t xml:space="preserve"> </w:t>
      </w:r>
    </w:p>
    <w:p w14:paraId="7C76F626" w14:textId="2EB82C85" w:rsidR="00B84FE2" w:rsidRDefault="00316BC1" w:rsidP="00316BC1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Podle </w:t>
      </w:r>
      <w:r w:rsidR="000B5B07">
        <w:rPr>
          <w:rFonts w:cstheme="minorHAnsi"/>
        </w:rPr>
        <w:t>výkladového stanoviska</w:t>
      </w:r>
      <w:r>
        <w:rPr>
          <w:rFonts w:cstheme="minorHAnsi"/>
        </w:rPr>
        <w:t xml:space="preserve"> ERÚ </w:t>
      </w:r>
      <w:r w:rsidR="00444139">
        <w:rPr>
          <w:rFonts w:cstheme="minorHAnsi"/>
        </w:rPr>
        <w:t xml:space="preserve">má </w:t>
      </w:r>
      <w:r>
        <w:rPr>
          <w:rFonts w:cstheme="minorHAnsi"/>
        </w:rPr>
        <w:t xml:space="preserve">spotřebitel v případě, že </w:t>
      </w:r>
      <w:r w:rsidR="00444139">
        <w:rPr>
          <w:rFonts w:cstheme="minorHAnsi"/>
        </w:rPr>
        <w:t xml:space="preserve">uzavřel </w:t>
      </w:r>
      <w:r>
        <w:rPr>
          <w:rFonts w:cstheme="minorHAnsi"/>
        </w:rPr>
        <w:t>smlouvu na dodávku e</w:t>
      </w:r>
      <w:r w:rsidR="00E86D9C">
        <w:rPr>
          <w:rFonts w:cstheme="minorHAnsi"/>
        </w:rPr>
        <w:t>lektřiny nebo plynu</w:t>
      </w:r>
      <w:r>
        <w:rPr>
          <w:rFonts w:cstheme="minorHAnsi"/>
        </w:rPr>
        <w:t xml:space="preserve"> distančním způsobem nebo mimo obchodní prostory, </w:t>
      </w:r>
      <w:r w:rsidR="00E86D9C">
        <w:rPr>
          <w:rFonts w:cstheme="minorHAnsi"/>
        </w:rPr>
        <w:t xml:space="preserve">vždy </w:t>
      </w:r>
      <w:r>
        <w:rPr>
          <w:rFonts w:cstheme="minorHAnsi"/>
        </w:rPr>
        <w:t>možnost od ní ve čtrnáctidenní lhůtě odstoupit. Dodavatel</w:t>
      </w:r>
      <w:r w:rsidR="000B5B07">
        <w:rPr>
          <w:rFonts w:cstheme="minorHAnsi"/>
        </w:rPr>
        <w:t>, pokud dodávku již zahájil,</w:t>
      </w:r>
      <w:r>
        <w:rPr>
          <w:rFonts w:cstheme="minorHAnsi"/>
        </w:rPr>
        <w:t xml:space="preserve"> </w:t>
      </w:r>
      <w:r w:rsidR="00672B7F">
        <w:rPr>
          <w:rFonts w:cstheme="minorHAnsi"/>
        </w:rPr>
        <w:t>má v takovém případě</w:t>
      </w:r>
      <w:r>
        <w:rPr>
          <w:rFonts w:cstheme="minorHAnsi"/>
        </w:rPr>
        <w:t xml:space="preserve"> </w:t>
      </w:r>
      <w:r w:rsidR="002222F2">
        <w:rPr>
          <w:rFonts w:cstheme="minorHAnsi"/>
        </w:rPr>
        <w:t xml:space="preserve">nárok </w:t>
      </w:r>
      <w:r>
        <w:rPr>
          <w:rFonts w:cstheme="minorHAnsi"/>
        </w:rPr>
        <w:t xml:space="preserve">pouze </w:t>
      </w:r>
      <w:r w:rsidR="002222F2">
        <w:rPr>
          <w:rFonts w:cstheme="minorHAnsi"/>
        </w:rPr>
        <w:t xml:space="preserve">na uhrazení </w:t>
      </w:r>
      <w:r w:rsidRPr="00765075">
        <w:t>poměrn</w:t>
      </w:r>
      <w:r w:rsidR="002222F2">
        <w:t>é</w:t>
      </w:r>
      <w:r w:rsidRPr="00765075">
        <w:t xml:space="preserve"> část</w:t>
      </w:r>
      <w:r w:rsidR="002222F2">
        <w:t>i</w:t>
      </w:r>
      <w:r w:rsidRPr="00765075">
        <w:t xml:space="preserve"> sjednané ceny</w:t>
      </w:r>
      <w:r>
        <w:t xml:space="preserve"> za elektřinu či plyn dodané do okamžiku ukončení smlouvy. </w:t>
      </w:r>
      <w:r>
        <w:rPr>
          <w:rFonts w:cstheme="minorHAnsi"/>
        </w:rPr>
        <w:t xml:space="preserve">Neměl by </w:t>
      </w:r>
      <w:r w:rsidR="00E86D9C">
        <w:rPr>
          <w:rFonts w:cstheme="minorHAnsi"/>
        </w:rPr>
        <w:t xml:space="preserve">naopak </w:t>
      </w:r>
      <w:r w:rsidR="00CE3D8E">
        <w:rPr>
          <w:rFonts w:cstheme="minorHAnsi"/>
        </w:rPr>
        <w:t>změně dodavatele bránit, příp</w:t>
      </w:r>
      <w:r w:rsidR="00232C01">
        <w:rPr>
          <w:rFonts w:cstheme="minorHAnsi"/>
        </w:rPr>
        <w:t>adně</w:t>
      </w:r>
      <w:r w:rsidR="00CE3D8E">
        <w:rPr>
          <w:rFonts w:cstheme="minorHAnsi"/>
        </w:rPr>
        <w:t xml:space="preserve"> vyžadovat po zákazníkovi </w:t>
      </w:r>
      <w:r>
        <w:rPr>
          <w:rFonts w:cstheme="minorHAnsi"/>
        </w:rPr>
        <w:t>smluvní pokutu, která je standardně spojen</w:t>
      </w:r>
      <w:r w:rsidR="00E86D9C">
        <w:rPr>
          <w:rFonts w:cstheme="minorHAnsi"/>
        </w:rPr>
        <w:t>á</w:t>
      </w:r>
      <w:r>
        <w:rPr>
          <w:rFonts w:cstheme="minorHAnsi"/>
        </w:rPr>
        <w:t xml:space="preserve"> s předčasným ukončením smlouvy na dobu určitou (smlouvu na dobu neurčitou lze </w:t>
      </w:r>
      <w:r w:rsidR="00683DD6">
        <w:rPr>
          <w:rFonts w:cstheme="minorHAnsi"/>
        </w:rPr>
        <w:t xml:space="preserve">bez postihu </w:t>
      </w:r>
      <w:r>
        <w:rPr>
          <w:rFonts w:cstheme="minorHAnsi"/>
        </w:rPr>
        <w:t>vypovědět</w:t>
      </w:r>
      <w:r w:rsidR="00683DD6">
        <w:rPr>
          <w:rFonts w:cstheme="minorHAnsi"/>
        </w:rPr>
        <w:t xml:space="preserve"> </w:t>
      </w:r>
      <w:r w:rsidR="00B10139">
        <w:rPr>
          <w:rFonts w:cstheme="minorHAnsi"/>
        </w:rPr>
        <w:t>kdykoli</w:t>
      </w:r>
      <w:r>
        <w:rPr>
          <w:rFonts w:cstheme="minorHAnsi"/>
        </w:rPr>
        <w:t xml:space="preserve">, s maximálně tříměsíční výpovědní </w:t>
      </w:r>
      <w:r w:rsidR="00672B7F">
        <w:rPr>
          <w:rFonts w:cstheme="minorHAnsi"/>
        </w:rPr>
        <w:t>dobou</w:t>
      </w:r>
      <w:r>
        <w:rPr>
          <w:rFonts w:cstheme="minorHAnsi"/>
        </w:rPr>
        <w:t>).</w:t>
      </w:r>
    </w:p>
    <w:p w14:paraId="13E8E0A7" w14:textId="0B26F672" w:rsidR="00144034" w:rsidRDefault="00316BC1" w:rsidP="00316BC1">
      <w:pPr>
        <w:widowControl w:val="0"/>
        <w:jc w:val="both"/>
      </w:pPr>
      <w:r>
        <w:t>Smlouvu uzavřenou distančním způsobem nebo mimo obchodní prostory je možné navíc vypovědět</w:t>
      </w:r>
      <w:r w:rsidR="00144034">
        <w:t>, podle energetického zákona,</w:t>
      </w:r>
      <w:r>
        <w:t xml:space="preserve"> </w:t>
      </w:r>
      <w:r w:rsidR="00144034" w:rsidRPr="00144034">
        <w:t xml:space="preserve">až do </w:t>
      </w:r>
      <w:r w:rsidR="00144034">
        <w:t>patnáctého</w:t>
      </w:r>
      <w:r w:rsidR="00144034" w:rsidRPr="00144034">
        <w:t xml:space="preserve"> dne po zahájení dodávek</w:t>
      </w:r>
      <w:r w:rsidR="00144034">
        <w:t xml:space="preserve">. To však lze učinit pouze </w:t>
      </w:r>
      <w:r w:rsidR="00683DD6">
        <w:t>při změně dodavatele</w:t>
      </w:r>
      <w:r w:rsidR="00144034">
        <w:t>, k čemuž v</w:t>
      </w:r>
      <w:r w:rsidR="00714539">
        <w:t xml:space="preserve"> </w:t>
      </w:r>
      <w:r w:rsidR="00F4616C">
        <w:t>p</w:t>
      </w:r>
      <w:r w:rsidR="00714539">
        <w:t xml:space="preserve">řípadě uzavření smlouvy se stávajícím </w:t>
      </w:r>
      <w:r w:rsidR="00F4616C">
        <w:t>obchodníkem nedochází.</w:t>
      </w:r>
      <w:r w:rsidR="00144034">
        <w:t xml:space="preserve"> </w:t>
      </w:r>
    </w:p>
    <w:p w14:paraId="68F3AE01" w14:textId="2DE1106B" w:rsidR="00316BC1" w:rsidRPr="00316BC1" w:rsidRDefault="0066309A" w:rsidP="00316BC1">
      <w:pPr>
        <w:widowControl w:val="0"/>
        <w:jc w:val="both"/>
      </w:pPr>
      <w:hyperlink r:id="rId14" w:history="1">
        <w:r w:rsidR="00144034" w:rsidRPr="00144034">
          <w:rPr>
            <w:rStyle w:val="Hypertextovodkaz"/>
          </w:rPr>
          <w:t>Vzory pro ukončení smluv</w:t>
        </w:r>
      </w:hyperlink>
      <w:r w:rsidR="00144034">
        <w:t xml:space="preserve"> jsou k dispozici na webu ERÚ.  </w:t>
      </w:r>
    </w:p>
    <w:sectPr w:rsidR="00316BC1" w:rsidRPr="00316BC1" w:rsidSect="00B84FE2">
      <w:headerReference w:type="default" r:id="rId15"/>
      <w:footerReference w:type="default" r:id="rId16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A02A" w14:textId="77777777" w:rsidR="0066309A" w:rsidRDefault="0066309A" w:rsidP="006928DE">
      <w:pPr>
        <w:spacing w:after="0" w:line="240" w:lineRule="auto"/>
      </w:pPr>
      <w:r>
        <w:separator/>
      </w:r>
    </w:p>
    <w:p w14:paraId="4659179E" w14:textId="77777777" w:rsidR="0066309A" w:rsidRDefault="0066309A"/>
  </w:endnote>
  <w:endnote w:type="continuationSeparator" w:id="0">
    <w:p w14:paraId="0BA12EE0" w14:textId="77777777" w:rsidR="0066309A" w:rsidRDefault="0066309A" w:rsidP="006928DE">
      <w:pPr>
        <w:spacing w:after="0" w:line="240" w:lineRule="auto"/>
      </w:pPr>
      <w:r>
        <w:continuationSeparator/>
      </w:r>
    </w:p>
    <w:p w14:paraId="418FF202" w14:textId="77777777" w:rsidR="0066309A" w:rsidRDefault="0066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panose1 w:val="00000000000000000000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0723E2E7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6015F16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153730B8" wp14:editId="0154B739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4DB96D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3735E74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9F68BB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725A23F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0AD79EAD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6C475B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9E5818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34A6851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734C788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57B9B81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76307403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CEF0A4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96AC8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0ACB74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CFECD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5934589A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BDF9DE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CB8DE9E" w14:textId="77777777" w:rsidR="00B84FE2" w:rsidRPr="003F04A5" w:rsidRDefault="0066309A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2B40FC0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710C3CC" w14:textId="77777777" w:rsidR="00B84FE2" w:rsidRPr="003F04A5" w:rsidRDefault="0066309A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4383EBEE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837F09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5150F1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33EFECF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661DDB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44DEE448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6FEEE9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D14DF1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54C052D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13622B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35E86650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53CC" w14:textId="77777777" w:rsidR="00B84FE2" w:rsidRDefault="00B84FE2" w:rsidP="00B84FE2">
    <w:pPr>
      <w:pStyle w:val="Zpat"/>
    </w:pPr>
  </w:p>
  <w:p w14:paraId="0DBEA22A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DDF1" w14:textId="77777777" w:rsidR="0066309A" w:rsidRDefault="0066309A" w:rsidP="006928DE">
      <w:pPr>
        <w:spacing w:after="0" w:line="240" w:lineRule="auto"/>
      </w:pPr>
      <w:r>
        <w:separator/>
      </w:r>
    </w:p>
    <w:p w14:paraId="6B15475B" w14:textId="77777777" w:rsidR="0066309A" w:rsidRDefault="0066309A"/>
  </w:footnote>
  <w:footnote w:type="continuationSeparator" w:id="0">
    <w:p w14:paraId="283E674C" w14:textId="77777777" w:rsidR="0066309A" w:rsidRDefault="0066309A" w:rsidP="006928DE">
      <w:pPr>
        <w:spacing w:after="0" w:line="240" w:lineRule="auto"/>
      </w:pPr>
      <w:r>
        <w:continuationSeparator/>
      </w:r>
    </w:p>
    <w:p w14:paraId="7D0DA047" w14:textId="77777777" w:rsidR="0066309A" w:rsidRDefault="0066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C360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7A0D5F49" wp14:editId="6E0D7465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68E5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5.2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0D6D"/>
    <w:rsid w:val="0001107C"/>
    <w:rsid w:val="00012AD9"/>
    <w:rsid w:val="0001541E"/>
    <w:rsid w:val="000218CC"/>
    <w:rsid w:val="0002339C"/>
    <w:rsid w:val="000331BF"/>
    <w:rsid w:val="000426A2"/>
    <w:rsid w:val="00045824"/>
    <w:rsid w:val="00047AC2"/>
    <w:rsid w:val="000508BF"/>
    <w:rsid w:val="00051C7F"/>
    <w:rsid w:val="000571CB"/>
    <w:rsid w:val="000650B6"/>
    <w:rsid w:val="00071182"/>
    <w:rsid w:val="00072105"/>
    <w:rsid w:val="00072844"/>
    <w:rsid w:val="00075E41"/>
    <w:rsid w:val="0008406D"/>
    <w:rsid w:val="00085606"/>
    <w:rsid w:val="00085D46"/>
    <w:rsid w:val="00087A8B"/>
    <w:rsid w:val="00093CCF"/>
    <w:rsid w:val="000A084F"/>
    <w:rsid w:val="000A5C2C"/>
    <w:rsid w:val="000B1CDC"/>
    <w:rsid w:val="000B2246"/>
    <w:rsid w:val="000B4B84"/>
    <w:rsid w:val="000B5B07"/>
    <w:rsid w:val="000C173C"/>
    <w:rsid w:val="000C2DAF"/>
    <w:rsid w:val="000C5F44"/>
    <w:rsid w:val="000C616C"/>
    <w:rsid w:val="000C6294"/>
    <w:rsid w:val="000D6B86"/>
    <w:rsid w:val="000F5202"/>
    <w:rsid w:val="000F75D7"/>
    <w:rsid w:val="000F7C3A"/>
    <w:rsid w:val="001031B7"/>
    <w:rsid w:val="00104721"/>
    <w:rsid w:val="00105ED8"/>
    <w:rsid w:val="00107692"/>
    <w:rsid w:val="00107DD1"/>
    <w:rsid w:val="00111118"/>
    <w:rsid w:val="00114B4B"/>
    <w:rsid w:val="001162FA"/>
    <w:rsid w:val="001211F8"/>
    <w:rsid w:val="00122FE1"/>
    <w:rsid w:val="00123F0C"/>
    <w:rsid w:val="001306A6"/>
    <w:rsid w:val="001335DD"/>
    <w:rsid w:val="001336B6"/>
    <w:rsid w:val="00134803"/>
    <w:rsid w:val="00135878"/>
    <w:rsid w:val="00136F3D"/>
    <w:rsid w:val="00142183"/>
    <w:rsid w:val="00144034"/>
    <w:rsid w:val="00145076"/>
    <w:rsid w:val="00145122"/>
    <w:rsid w:val="00145FAB"/>
    <w:rsid w:val="00146FD3"/>
    <w:rsid w:val="001543AC"/>
    <w:rsid w:val="0015550A"/>
    <w:rsid w:val="00166498"/>
    <w:rsid w:val="00166789"/>
    <w:rsid w:val="001732A2"/>
    <w:rsid w:val="00177350"/>
    <w:rsid w:val="00177B0A"/>
    <w:rsid w:val="00177B1F"/>
    <w:rsid w:val="0018545A"/>
    <w:rsid w:val="00192873"/>
    <w:rsid w:val="00193AA8"/>
    <w:rsid w:val="001A518B"/>
    <w:rsid w:val="001A7167"/>
    <w:rsid w:val="001B0634"/>
    <w:rsid w:val="001B0E86"/>
    <w:rsid w:val="001B2626"/>
    <w:rsid w:val="001B5017"/>
    <w:rsid w:val="001B5B5F"/>
    <w:rsid w:val="001C1F61"/>
    <w:rsid w:val="001C2B90"/>
    <w:rsid w:val="001C2BE8"/>
    <w:rsid w:val="001C6B94"/>
    <w:rsid w:val="001D056A"/>
    <w:rsid w:val="001D568D"/>
    <w:rsid w:val="001E0ABD"/>
    <w:rsid w:val="001F06D8"/>
    <w:rsid w:val="001F51D6"/>
    <w:rsid w:val="001F754A"/>
    <w:rsid w:val="002024DE"/>
    <w:rsid w:val="00205AEB"/>
    <w:rsid w:val="0020748A"/>
    <w:rsid w:val="0021228F"/>
    <w:rsid w:val="002138B1"/>
    <w:rsid w:val="002222F2"/>
    <w:rsid w:val="00225848"/>
    <w:rsid w:val="00225DEF"/>
    <w:rsid w:val="00226D87"/>
    <w:rsid w:val="00227765"/>
    <w:rsid w:val="00227966"/>
    <w:rsid w:val="00232B14"/>
    <w:rsid w:val="00232C01"/>
    <w:rsid w:val="00233317"/>
    <w:rsid w:val="0023780E"/>
    <w:rsid w:val="00237988"/>
    <w:rsid w:val="00242552"/>
    <w:rsid w:val="002431F5"/>
    <w:rsid w:val="00246C47"/>
    <w:rsid w:val="0024794B"/>
    <w:rsid w:val="0025253A"/>
    <w:rsid w:val="002573E8"/>
    <w:rsid w:val="00257C8F"/>
    <w:rsid w:val="00261550"/>
    <w:rsid w:val="002622B5"/>
    <w:rsid w:val="0027040D"/>
    <w:rsid w:val="00270C0A"/>
    <w:rsid w:val="0027149D"/>
    <w:rsid w:val="00274446"/>
    <w:rsid w:val="00284A7B"/>
    <w:rsid w:val="00285DA6"/>
    <w:rsid w:val="00286E08"/>
    <w:rsid w:val="00295FF2"/>
    <w:rsid w:val="0029689D"/>
    <w:rsid w:val="002A16BF"/>
    <w:rsid w:val="002B02E1"/>
    <w:rsid w:val="002B064F"/>
    <w:rsid w:val="002B351D"/>
    <w:rsid w:val="002B671C"/>
    <w:rsid w:val="002B682A"/>
    <w:rsid w:val="002B753C"/>
    <w:rsid w:val="002C42C1"/>
    <w:rsid w:val="002D0AB8"/>
    <w:rsid w:val="002E6A71"/>
    <w:rsid w:val="002F2008"/>
    <w:rsid w:val="002F245E"/>
    <w:rsid w:val="00301528"/>
    <w:rsid w:val="00306CA4"/>
    <w:rsid w:val="0030742A"/>
    <w:rsid w:val="00316BC1"/>
    <w:rsid w:val="00322418"/>
    <w:rsid w:val="00323EDA"/>
    <w:rsid w:val="00332C3A"/>
    <w:rsid w:val="003335E1"/>
    <w:rsid w:val="00334280"/>
    <w:rsid w:val="0033462F"/>
    <w:rsid w:val="00343ACC"/>
    <w:rsid w:val="00347856"/>
    <w:rsid w:val="00350655"/>
    <w:rsid w:val="003521BD"/>
    <w:rsid w:val="0035244C"/>
    <w:rsid w:val="00352DFA"/>
    <w:rsid w:val="00355AB0"/>
    <w:rsid w:val="003615D5"/>
    <w:rsid w:val="00361EFB"/>
    <w:rsid w:val="00371634"/>
    <w:rsid w:val="00373FE6"/>
    <w:rsid w:val="003822B9"/>
    <w:rsid w:val="0039125C"/>
    <w:rsid w:val="003940A8"/>
    <w:rsid w:val="0039410F"/>
    <w:rsid w:val="00396549"/>
    <w:rsid w:val="00396672"/>
    <w:rsid w:val="003976BB"/>
    <w:rsid w:val="003A2308"/>
    <w:rsid w:val="003B39A7"/>
    <w:rsid w:val="003B79F6"/>
    <w:rsid w:val="003C1370"/>
    <w:rsid w:val="003C52E3"/>
    <w:rsid w:val="003C59C1"/>
    <w:rsid w:val="003D123E"/>
    <w:rsid w:val="003D2ABB"/>
    <w:rsid w:val="003D4CD7"/>
    <w:rsid w:val="003D4FB1"/>
    <w:rsid w:val="003D68A7"/>
    <w:rsid w:val="003E2CD2"/>
    <w:rsid w:val="003E4D5E"/>
    <w:rsid w:val="003E5378"/>
    <w:rsid w:val="003E70AB"/>
    <w:rsid w:val="003E7C01"/>
    <w:rsid w:val="003F00F7"/>
    <w:rsid w:val="003F04A5"/>
    <w:rsid w:val="003F15E5"/>
    <w:rsid w:val="003F5E56"/>
    <w:rsid w:val="00403AA6"/>
    <w:rsid w:val="004053E5"/>
    <w:rsid w:val="00405DD1"/>
    <w:rsid w:val="00407540"/>
    <w:rsid w:val="00411947"/>
    <w:rsid w:val="0041474F"/>
    <w:rsid w:val="0041575C"/>
    <w:rsid w:val="00415E5E"/>
    <w:rsid w:val="00417066"/>
    <w:rsid w:val="00432954"/>
    <w:rsid w:val="0043419D"/>
    <w:rsid w:val="00441A0B"/>
    <w:rsid w:val="00444139"/>
    <w:rsid w:val="004442A5"/>
    <w:rsid w:val="0044630D"/>
    <w:rsid w:val="00454C04"/>
    <w:rsid w:val="00460F6C"/>
    <w:rsid w:val="00462045"/>
    <w:rsid w:val="004736D9"/>
    <w:rsid w:val="00476642"/>
    <w:rsid w:val="00480AB0"/>
    <w:rsid w:val="0048177E"/>
    <w:rsid w:val="00483BAC"/>
    <w:rsid w:val="00485AE9"/>
    <w:rsid w:val="00490B54"/>
    <w:rsid w:val="00494F8B"/>
    <w:rsid w:val="004B5667"/>
    <w:rsid w:val="004C17C1"/>
    <w:rsid w:val="004C2271"/>
    <w:rsid w:val="004C5CD8"/>
    <w:rsid w:val="004C752C"/>
    <w:rsid w:val="004D1A6B"/>
    <w:rsid w:val="004D27B7"/>
    <w:rsid w:val="004D2C82"/>
    <w:rsid w:val="004D46E9"/>
    <w:rsid w:val="004D59DF"/>
    <w:rsid w:val="004E7AE6"/>
    <w:rsid w:val="004F285B"/>
    <w:rsid w:val="004F3140"/>
    <w:rsid w:val="004F5CD5"/>
    <w:rsid w:val="004F6D70"/>
    <w:rsid w:val="005019F6"/>
    <w:rsid w:val="00502CF9"/>
    <w:rsid w:val="00504289"/>
    <w:rsid w:val="00507A3E"/>
    <w:rsid w:val="00507C35"/>
    <w:rsid w:val="00510576"/>
    <w:rsid w:val="005137D1"/>
    <w:rsid w:val="0051514D"/>
    <w:rsid w:val="00517854"/>
    <w:rsid w:val="0052077C"/>
    <w:rsid w:val="00526D10"/>
    <w:rsid w:val="005309C8"/>
    <w:rsid w:val="005316FE"/>
    <w:rsid w:val="00531E13"/>
    <w:rsid w:val="00535C5E"/>
    <w:rsid w:val="00536554"/>
    <w:rsid w:val="005407BA"/>
    <w:rsid w:val="00543953"/>
    <w:rsid w:val="00547E31"/>
    <w:rsid w:val="00550788"/>
    <w:rsid w:val="00551794"/>
    <w:rsid w:val="00555C48"/>
    <w:rsid w:val="00556AC6"/>
    <w:rsid w:val="00562069"/>
    <w:rsid w:val="005640BC"/>
    <w:rsid w:val="00570E2C"/>
    <w:rsid w:val="00570EB7"/>
    <w:rsid w:val="005715D0"/>
    <w:rsid w:val="00573217"/>
    <w:rsid w:val="005806CD"/>
    <w:rsid w:val="00590B03"/>
    <w:rsid w:val="00591529"/>
    <w:rsid w:val="0059336A"/>
    <w:rsid w:val="005963E0"/>
    <w:rsid w:val="005B077A"/>
    <w:rsid w:val="005B10C2"/>
    <w:rsid w:val="005B58C4"/>
    <w:rsid w:val="005D4A62"/>
    <w:rsid w:val="005D5F4D"/>
    <w:rsid w:val="005D6010"/>
    <w:rsid w:val="005D6096"/>
    <w:rsid w:val="005E7A32"/>
    <w:rsid w:val="005F4019"/>
    <w:rsid w:val="00600FA7"/>
    <w:rsid w:val="006014B4"/>
    <w:rsid w:val="0060627D"/>
    <w:rsid w:val="00607AD2"/>
    <w:rsid w:val="00613148"/>
    <w:rsid w:val="006136E0"/>
    <w:rsid w:val="00615CCA"/>
    <w:rsid w:val="00616772"/>
    <w:rsid w:val="0062076D"/>
    <w:rsid w:val="00626B39"/>
    <w:rsid w:val="00641C92"/>
    <w:rsid w:val="00651093"/>
    <w:rsid w:val="006513B1"/>
    <w:rsid w:val="00653A74"/>
    <w:rsid w:val="00655B6D"/>
    <w:rsid w:val="006617E9"/>
    <w:rsid w:val="0066309A"/>
    <w:rsid w:val="00672B7F"/>
    <w:rsid w:val="00676C24"/>
    <w:rsid w:val="00683DD6"/>
    <w:rsid w:val="00685617"/>
    <w:rsid w:val="006928DE"/>
    <w:rsid w:val="00693A6E"/>
    <w:rsid w:val="00695C15"/>
    <w:rsid w:val="00696EA8"/>
    <w:rsid w:val="006A2F62"/>
    <w:rsid w:val="006A54FA"/>
    <w:rsid w:val="006A7D9E"/>
    <w:rsid w:val="006B1325"/>
    <w:rsid w:val="006B66F6"/>
    <w:rsid w:val="006C1BCC"/>
    <w:rsid w:val="006C306F"/>
    <w:rsid w:val="006C5D01"/>
    <w:rsid w:val="006C6FAE"/>
    <w:rsid w:val="006C72BB"/>
    <w:rsid w:val="006D3FFE"/>
    <w:rsid w:val="006D5FE2"/>
    <w:rsid w:val="006D60D5"/>
    <w:rsid w:val="006D6A1E"/>
    <w:rsid w:val="006E0786"/>
    <w:rsid w:val="006E71F3"/>
    <w:rsid w:val="006F2BAD"/>
    <w:rsid w:val="006F2BCE"/>
    <w:rsid w:val="00707C91"/>
    <w:rsid w:val="0071179F"/>
    <w:rsid w:val="00714539"/>
    <w:rsid w:val="00720880"/>
    <w:rsid w:val="00721FB1"/>
    <w:rsid w:val="00722104"/>
    <w:rsid w:val="0072632E"/>
    <w:rsid w:val="00726354"/>
    <w:rsid w:val="00732957"/>
    <w:rsid w:val="007357E7"/>
    <w:rsid w:val="007424DF"/>
    <w:rsid w:val="00743676"/>
    <w:rsid w:val="00743FFD"/>
    <w:rsid w:val="00744CBB"/>
    <w:rsid w:val="00750A3E"/>
    <w:rsid w:val="00750CB9"/>
    <w:rsid w:val="00757C07"/>
    <w:rsid w:val="00760BF7"/>
    <w:rsid w:val="00771801"/>
    <w:rsid w:val="0077575C"/>
    <w:rsid w:val="007768E9"/>
    <w:rsid w:val="0078256A"/>
    <w:rsid w:val="00785109"/>
    <w:rsid w:val="007918ED"/>
    <w:rsid w:val="007A3624"/>
    <w:rsid w:val="007A6284"/>
    <w:rsid w:val="007A6A8F"/>
    <w:rsid w:val="007B178E"/>
    <w:rsid w:val="007B767B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04E4"/>
    <w:rsid w:val="008106C2"/>
    <w:rsid w:val="008150F6"/>
    <w:rsid w:val="00824B9D"/>
    <w:rsid w:val="008262E9"/>
    <w:rsid w:val="008367D6"/>
    <w:rsid w:val="008407F1"/>
    <w:rsid w:val="00843945"/>
    <w:rsid w:val="008565E2"/>
    <w:rsid w:val="00871CCB"/>
    <w:rsid w:val="008726F2"/>
    <w:rsid w:val="008752BD"/>
    <w:rsid w:val="0087698D"/>
    <w:rsid w:val="00883CB7"/>
    <w:rsid w:val="00887234"/>
    <w:rsid w:val="0089141A"/>
    <w:rsid w:val="00893114"/>
    <w:rsid w:val="00897DD6"/>
    <w:rsid w:val="008A5083"/>
    <w:rsid w:val="008A5587"/>
    <w:rsid w:val="008C0225"/>
    <w:rsid w:val="008C265E"/>
    <w:rsid w:val="008C6F0F"/>
    <w:rsid w:val="008C72AD"/>
    <w:rsid w:val="008C7AD8"/>
    <w:rsid w:val="008D4AD5"/>
    <w:rsid w:val="008D5BCF"/>
    <w:rsid w:val="008E62D6"/>
    <w:rsid w:val="008F1BBF"/>
    <w:rsid w:val="00900430"/>
    <w:rsid w:val="009030F3"/>
    <w:rsid w:val="009039FF"/>
    <w:rsid w:val="00921AC9"/>
    <w:rsid w:val="009221D7"/>
    <w:rsid w:val="00927A04"/>
    <w:rsid w:val="00930CA9"/>
    <w:rsid w:val="00934290"/>
    <w:rsid w:val="0094008A"/>
    <w:rsid w:val="00941E72"/>
    <w:rsid w:val="00951B34"/>
    <w:rsid w:val="0096064A"/>
    <w:rsid w:val="00966945"/>
    <w:rsid w:val="009677FD"/>
    <w:rsid w:val="00967BB1"/>
    <w:rsid w:val="00967F08"/>
    <w:rsid w:val="009721DE"/>
    <w:rsid w:val="009725E7"/>
    <w:rsid w:val="00976DDC"/>
    <w:rsid w:val="00985FCB"/>
    <w:rsid w:val="009860AB"/>
    <w:rsid w:val="0098709F"/>
    <w:rsid w:val="00992336"/>
    <w:rsid w:val="00996E3A"/>
    <w:rsid w:val="00996EDD"/>
    <w:rsid w:val="00997BDA"/>
    <w:rsid w:val="009A6B6C"/>
    <w:rsid w:val="009A6EB8"/>
    <w:rsid w:val="009B7E1F"/>
    <w:rsid w:val="009C0229"/>
    <w:rsid w:val="009C0B1F"/>
    <w:rsid w:val="009C2998"/>
    <w:rsid w:val="009C7AA4"/>
    <w:rsid w:val="009D2B07"/>
    <w:rsid w:val="009D55A6"/>
    <w:rsid w:val="009D7BD4"/>
    <w:rsid w:val="009E0A9B"/>
    <w:rsid w:val="009E259B"/>
    <w:rsid w:val="009E2845"/>
    <w:rsid w:val="009E4FD9"/>
    <w:rsid w:val="009F0FAF"/>
    <w:rsid w:val="009F1EFE"/>
    <w:rsid w:val="009F25F5"/>
    <w:rsid w:val="009F3DF7"/>
    <w:rsid w:val="009F3EE7"/>
    <w:rsid w:val="009F6F06"/>
    <w:rsid w:val="009F7590"/>
    <w:rsid w:val="00A115A8"/>
    <w:rsid w:val="00A27793"/>
    <w:rsid w:val="00A308FC"/>
    <w:rsid w:val="00A30A8A"/>
    <w:rsid w:val="00A30AE7"/>
    <w:rsid w:val="00A3328F"/>
    <w:rsid w:val="00A36EF8"/>
    <w:rsid w:val="00A411B5"/>
    <w:rsid w:val="00A43674"/>
    <w:rsid w:val="00A5082B"/>
    <w:rsid w:val="00A510D0"/>
    <w:rsid w:val="00A55E42"/>
    <w:rsid w:val="00A63F2E"/>
    <w:rsid w:val="00A65443"/>
    <w:rsid w:val="00A65E6B"/>
    <w:rsid w:val="00A66974"/>
    <w:rsid w:val="00A73BA0"/>
    <w:rsid w:val="00A77840"/>
    <w:rsid w:val="00A82E10"/>
    <w:rsid w:val="00A83983"/>
    <w:rsid w:val="00A83DC3"/>
    <w:rsid w:val="00A83E3E"/>
    <w:rsid w:val="00A90649"/>
    <w:rsid w:val="00A927BE"/>
    <w:rsid w:val="00A94E5B"/>
    <w:rsid w:val="00A97F12"/>
    <w:rsid w:val="00AA27B3"/>
    <w:rsid w:val="00AA557B"/>
    <w:rsid w:val="00AA674D"/>
    <w:rsid w:val="00AB1251"/>
    <w:rsid w:val="00AB31DB"/>
    <w:rsid w:val="00AC7773"/>
    <w:rsid w:val="00AD3C91"/>
    <w:rsid w:val="00AD428E"/>
    <w:rsid w:val="00AE1652"/>
    <w:rsid w:val="00AE2DAC"/>
    <w:rsid w:val="00AE6AFB"/>
    <w:rsid w:val="00AF3AE5"/>
    <w:rsid w:val="00AF4083"/>
    <w:rsid w:val="00B0005F"/>
    <w:rsid w:val="00B007F7"/>
    <w:rsid w:val="00B071A9"/>
    <w:rsid w:val="00B07842"/>
    <w:rsid w:val="00B10139"/>
    <w:rsid w:val="00B1017C"/>
    <w:rsid w:val="00B10D13"/>
    <w:rsid w:val="00B130C4"/>
    <w:rsid w:val="00B14B69"/>
    <w:rsid w:val="00B14C12"/>
    <w:rsid w:val="00B15811"/>
    <w:rsid w:val="00B200DD"/>
    <w:rsid w:val="00B30F9B"/>
    <w:rsid w:val="00B33FC7"/>
    <w:rsid w:val="00B43E2B"/>
    <w:rsid w:val="00B45EC4"/>
    <w:rsid w:val="00B4642D"/>
    <w:rsid w:val="00B50411"/>
    <w:rsid w:val="00B52210"/>
    <w:rsid w:val="00B54B31"/>
    <w:rsid w:val="00B54EB0"/>
    <w:rsid w:val="00B60E4D"/>
    <w:rsid w:val="00B67FBD"/>
    <w:rsid w:val="00B716AD"/>
    <w:rsid w:val="00B717C6"/>
    <w:rsid w:val="00B77963"/>
    <w:rsid w:val="00B8328C"/>
    <w:rsid w:val="00B84FE2"/>
    <w:rsid w:val="00B86937"/>
    <w:rsid w:val="00B87185"/>
    <w:rsid w:val="00B87CD7"/>
    <w:rsid w:val="00BA1071"/>
    <w:rsid w:val="00BA322C"/>
    <w:rsid w:val="00BB104A"/>
    <w:rsid w:val="00BB1F3C"/>
    <w:rsid w:val="00BB532D"/>
    <w:rsid w:val="00BC2C47"/>
    <w:rsid w:val="00BD47DA"/>
    <w:rsid w:val="00BD646A"/>
    <w:rsid w:val="00BE0E43"/>
    <w:rsid w:val="00BF757E"/>
    <w:rsid w:val="00BF7DEB"/>
    <w:rsid w:val="00C03ACE"/>
    <w:rsid w:val="00C04190"/>
    <w:rsid w:val="00C1092A"/>
    <w:rsid w:val="00C15057"/>
    <w:rsid w:val="00C1737E"/>
    <w:rsid w:val="00C21E0A"/>
    <w:rsid w:val="00C21EBE"/>
    <w:rsid w:val="00C223D9"/>
    <w:rsid w:val="00C22ED6"/>
    <w:rsid w:val="00C23FA7"/>
    <w:rsid w:val="00C25365"/>
    <w:rsid w:val="00C255DC"/>
    <w:rsid w:val="00C31CCF"/>
    <w:rsid w:val="00C346AA"/>
    <w:rsid w:val="00C34956"/>
    <w:rsid w:val="00C37D91"/>
    <w:rsid w:val="00C40A7C"/>
    <w:rsid w:val="00C40DFC"/>
    <w:rsid w:val="00C42995"/>
    <w:rsid w:val="00C4433F"/>
    <w:rsid w:val="00C461AC"/>
    <w:rsid w:val="00C52979"/>
    <w:rsid w:val="00C55B5D"/>
    <w:rsid w:val="00C604C6"/>
    <w:rsid w:val="00C656B4"/>
    <w:rsid w:val="00C74E4A"/>
    <w:rsid w:val="00C76ADB"/>
    <w:rsid w:val="00C95F75"/>
    <w:rsid w:val="00CA5051"/>
    <w:rsid w:val="00CA6686"/>
    <w:rsid w:val="00CA7A70"/>
    <w:rsid w:val="00CB033D"/>
    <w:rsid w:val="00CB4693"/>
    <w:rsid w:val="00CB5C16"/>
    <w:rsid w:val="00CB5F58"/>
    <w:rsid w:val="00CC1122"/>
    <w:rsid w:val="00CC12B5"/>
    <w:rsid w:val="00CC251B"/>
    <w:rsid w:val="00CC457F"/>
    <w:rsid w:val="00CC4D9F"/>
    <w:rsid w:val="00CC78E5"/>
    <w:rsid w:val="00CD6214"/>
    <w:rsid w:val="00CD7553"/>
    <w:rsid w:val="00CE3663"/>
    <w:rsid w:val="00CE3D8E"/>
    <w:rsid w:val="00CF2367"/>
    <w:rsid w:val="00CF385D"/>
    <w:rsid w:val="00CF4679"/>
    <w:rsid w:val="00CF588E"/>
    <w:rsid w:val="00D032E1"/>
    <w:rsid w:val="00D12405"/>
    <w:rsid w:val="00D13DDC"/>
    <w:rsid w:val="00D149C4"/>
    <w:rsid w:val="00D176C0"/>
    <w:rsid w:val="00D17CBD"/>
    <w:rsid w:val="00D26113"/>
    <w:rsid w:val="00D27DC4"/>
    <w:rsid w:val="00D339D6"/>
    <w:rsid w:val="00D364AA"/>
    <w:rsid w:val="00D4023C"/>
    <w:rsid w:val="00D514E4"/>
    <w:rsid w:val="00D52D32"/>
    <w:rsid w:val="00D534C7"/>
    <w:rsid w:val="00D56188"/>
    <w:rsid w:val="00D62462"/>
    <w:rsid w:val="00D6779E"/>
    <w:rsid w:val="00D67FAC"/>
    <w:rsid w:val="00D738DB"/>
    <w:rsid w:val="00D75E52"/>
    <w:rsid w:val="00D8185B"/>
    <w:rsid w:val="00D8658F"/>
    <w:rsid w:val="00D903C1"/>
    <w:rsid w:val="00D94B77"/>
    <w:rsid w:val="00D94F9D"/>
    <w:rsid w:val="00DA302C"/>
    <w:rsid w:val="00DA3158"/>
    <w:rsid w:val="00DA386C"/>
    <w:rsid w:val="00DB054C"/>
    <w:rsid w:val="00DB1A8C"/>
    <w:rsid w:val="00DB6B9C"/>
    <w:rsid w:val="00DC3A03"/>
    <w:rsid w:val="00DC4666"/>
    <w:rsid w:val="00DC5823"/>
    <w:rsid w:val="00DD13D6"/>
    <w:rsid w:val="00DD51CF"/>
    <w:rsid w:val="00DE02BD"/>
    <w:rsid w:val="00DF0D6C"/>
    <w:rsid w:val="00DF5DC7"/>
    <w:rsid w:val="00DF6959"/>
    <w:rsid w:val="00E0093B"/>
    <w:rsid w:val="00E05CC8"/>
    <w:rsid w:val="00E06620"/>
    <w:rsid w:val="00E07899"/>
    <w:rsid w:val="00E15AB4"/>
    <w:rsid w:val="00E17532"/>
    <w:rsid w:val="00E23EC2"/>
    <w:rsid w:val="00E25B4A"/>
    <w:rsid w:val="00E31CD9"/>
    <w:rsid w:val="00E32425"/>
    <w:rsid w:val="00E32F0D"/>
    <w:rsid w:val="00E40263"/>
    <w:rsid w:val="00E41308"/>
    <w:rsid w:val="00E433DF"/>
    <w:rsid w:val="00E46561"/>
    <w:rsid w:val="00E47457"/>
    <w:rsid w:val="00E50371"/>
    <w:rsid w:val="00E5491F"/>
    <w:rsid w:val="00E6084E"/>
    <w:rsid w:val="00E60B8F"/>
    <w:rsid w:val="00E622EB"/>
    <w:rsid w:val="00E757FA"/>
    <w:rsid w:val="00E76E8B"/>
    <w:rsid w:val="00E819CE"/>
    <w:rsid w:val="00E86D9C"/>
    <w:rsid w:val="00E92EBC"/>
    <w:rsid w:val="00E93627"/>
    <w:rsid w:val="00E9707F"/>
    <w:rsid w:val="00EB3029"/>
    <w:rsid w:val="00EB7897"/>
    <w:rsid w:val="00EB7A52"/>
    <w:rsid w:val="00ED1665"/>
    <w:rsid w:val="00ED1AE9"/>
    <w:rsid w:val="00ED35C6"/>
    <w:rsid w:val="00EE1025"/>
    <w:rsid w:val="00EE24ED"/>
    <w:rsid w:val="00EE50EC"/>
    <w:rsid w:val="00EF5A47"/>
    <w:rsid w:val="00EF5ABA"/>
    <w:rsid w:val="00EF7322"/>
    <w:rsid w:val="00F0060D"/>
    <w:rsid w:val="00F1005C"/>
    <w:rsid w:val="00F119E6"/>
    <w:rsid w:val="00F268A0"/>
    <w:rsid w:val="00F30640"/>
    <w:rsid w:val="00F3308A"/>
    <w:rsid w:val="00F4225E"/>
    <w:rsid w:val="00F4616C"/>
    <w:rsid w:val="00F55AE8"/>
    <w:rsid w:val="00F56E41"/>
    <w:rsid w:val="00F606BF"/>
    <w:rsid w:val="00F6270A"/>
    <w:rsid w:val="00F62D6A"/>
    <w:rsid w:val="00F71496"/>
    <w:rsid w:val="00F73427"/>
    <w:rsid w:val="00F814CA"/>
    <w:rsid w:val="00F84168"/>
    <w:rsid w:val="00F86961"/>
    <w:rsid w:val="00F86ECB"/>
    <w:rsid w:val="00F878B2"/>
    <w:rsid w:val="00F90359"/>
    <w:rsid w:val="00F93C69"/>
    <w:rsid w:val="00FA024A"/>
    <w:rsid w:val="00FB3675"/>
    <w:rsid w:val="00FC1E04"/>
    <w:rsid w:val="00FC37F2"/>
    <w:rsid w:val="00FC3CFE"/>
    <w:rsid w:val="00FC54E6"/>
    <w:rsid w:val="00FD3EE8"/>
    <w:rsid w:val="00FD70FD"/>
    <w:rsid w:val="00FE5B2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33F2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vykladove-stanovisko-eru-12025-k-problematice-odstoupeni-od-smlouvy-podle-ss-1829-obcanskeh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u.gov.cz/vzory-pro-odstoupeni-nebo-vypoved-smlouv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2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671A2-E793-4D29-857F-D8689894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252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Kozáková Iveta Mgr.</cp:lastModifiedBy>
  <cp:revision>11</cp:revision>
  <cp:lastPrinted>2025-06-24T07:53:00Z</cp:lastPrinted>
  <dcterms:created xsi:type="dcterms:W3CDTF">2025-06-20T09:27:00Z</dcterms:created>
  <dcterms:modified xsi:type="dcterms:W3CDTF">2025-06-24T08:06:00Z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