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C672BB" w14:textId="41ED4F18" w:rsidR="00B84FE2" w:rsidRPr="00B84FE2" w:rsidRDefault="00ED35C6" w:rsidP="00B84FE2">
      <w:pPr>
        <w:pStyle w:val="NadpisX"/>
        <w:tabs>
          <w:tab w:val="clear" w:pos="851"/>
          <w:tab w:val="left" w:pos="1276"/>
        </w:tabs>
        <w:spacing w:before="0" w:after="120"/>
        <w:rPr>
          <w:sz w:val="28"/>
          <w:szCs w:val="28"/>
        </w:rPr>
      </w:pPr>
      <w:r>
        <w:rPr>
          <w:sz w:val="28"/>
          <w:szCs w:val="28"/>
        </w:rPr>
        <w:t>erú loni udělil rekordní pokuty</w:t>
      </w:r>
      <w:r w:rsidR="00396672">
        <w:rPr>
          <w:sz w:val="28"/>
          <w:szCs w:val="28"/>
        </w:rPr>
        <w:t xml:space="preserve"> za praktiky</w:t>
      </w:r>
      <w:r w:rsidR="00E342C5">
        <w:rPr>
          <w:sz w:val="28"/>
          <w:szCs w:val="28"/>
        </w:rPr>
        <w:t xml:space="preserve"> proti spotřebitelům</w:t>
      </w:r>
      <w:r>
        <w:rPr>
          <w:sz w:val="28"/>
          <w:szCs w:val="28"/>
        </w:rPr>
        <w:t>, v součtu za více než 14 milionů</w:t>
      </w:r>
    </w:p>
    <w:p w14:paraId="572C3684" w14:textId="6EC8A783" w:rsidR="00B84FE2" w:rsidRPr="000218CC" w:rsidRDefault="00B84FE2" w:rsidP="00DA302C">
      <w:pPr>
        <w:rPr>
          <w:lang w:eastAsia="en-US"/>
        </w:rPr>
        <w:sectPr w:rsidR="00B84FE2" w:rsidRPr="000218CC" w:rsidSect="00AE1652">
          <w:headerReference w:type="default" r:id="rId11"/>
          <w:footerReference w:type="default" r:id="rId12"/>
          <w:type w:val="continuous"/>
          <w:pgSz w:w="11906" w:h="16838" w:code="9"/>
          <w:pgMar w:top="1843" w:right="851" w:bottom="1134" w:left="851" w:header="0" w:footer="0" w:gutter="0"/>
          <w:pgNumType w:start="1"/>
          <w:cols w:space="708"/>
          <w:docGrid w:linePitch="360"/>
        </w:sectPr>
      </w:pPr>
      <w:r>
        <w:rPr>
          <w:lang w:eastAsia="en-US"/>
        </w:rPr>
        <w:t>Tisková zpráva</w:t>
      </w:r>
      <w:r w:rsidRPr="006D7C8B">
        <w:rPr>
          <w:lang w:eastAsia="en-US"/>
        </w:rPr>
        <w:t xml:space="preserve">, </w:t>
      </w:r>
      <w:r w:rsidR="006D7C8B" w:rsidRPr="006D7C8B">
        <w:rPr>
          <w:lang w:eastAsia="en-US"/>
        </w:rPr>
        <w:t>10</w:t>
      </w:r>
      <w:r w:rsidRPr="006D7C8B">
        <w:rPr>
          <w:lang w:eastAsia="en-US"/>
        </w:rPr>
        <w:t>.</w:t>
      </w:r>
      <w:r w:rsidR="00E6084E" w:rsidRPr="006D7C8B">
        <w:rPr>
          <w:lang w:eastAsia="en-US"/>
        </w:rPr>
        <w:t>0</w:t>
      </w:r>
      <w:r w:rsidR="006D7C8B" w:rsidRPr="006D7C8B">
        <w:rPr>
          <w:lang w:eastAsia="en-US"/>
        </w:rPr>
        <w:t>3</w:t>
      </w:r>
      <w:r w:rsidRPr="006D7C8B">
        <w:rPr>
          <w:lang w:eastAsia="en-US"/>
        </w:rPr>
        <w:t>.202</w:t>
      </w:r>
      <w:r w:rsidR="00E6084E" w:rsidRPr="006D7C8B">
        <w:rPr>
          <w:lang w:eastAsia="en-US"/>
        </w:rPr>
        <w:t>5</w:t>
      </w:r>
    </w:p>
    <w:p w14:paraId="131A549D" w14:textId="1109D998" w:rsidR="003335E1" w:rsidRDefault="00ED35C6" w:rsidP="00A30AE7">
      <w:pPr>
        <w:widowControl w:val="0"/>
        <w:jc w:val="both"/>
        <w:rPr>
          <w:rFonts w:cstheme="minorHAnsi"/>
          <w:b/>
          <w:i/>
        </w:rPr>
      </w:pPr>
      <w:r>
        <w:rPr>
          <w:rFonts w:cstheme="minorHAnsi"/>
          <w:b/>
          <w:i/>
        </w:rPr>
        <w:t xml:space="preserve">Energetický regulační úřad (ERÚ) v loňském roce udělil </w:t>
      </w:r>
      <w:r w:rsidR="006635C2">
        <w:rPr>
          <w:rFonts w:cstheme="minorHAnsi"/>
          <w:b/>
          <w:i/>
        </w:rPr>
        <w:t xml:space="preserve">pokuty v souhrnné výši 14,3 milionu korun </w:t>
      </w:r>
      <w:r>
        <w:rPr>
          <w:rFonts w:cstheme="minorHAnsi"/>
          <w:b/>
          <w:i/>
        </w:rPr>
        <w:t>za praktiky</w:t>
      </w:r>
      <w:r w:rsidR="006635C2">
        <w:rPr>
          <w:rFonts w:cstheme="minorHAnsi"/>
          <w:b/>
          <w:i/>
        </w:rPr>
        <w:t xml:space="preserve"> proti spotřebitelům</w:t>
      </w:r>
      <w:r>
        <w:rPr>
          <w:rFonts w:cstheme="minorHAnsi"/>
          <w:b/>
          <w:i/>
        </w:rPr>
        <w:t>.</w:t>
      </w:r>
      <w:r w:rsidR="003335E1">
        <w:rPr>
          <w:rFonts w:cstheme="minorHAnsi"/>
          <w:b/>
          <w:i/>
        </w:rPr>
        <w:t xml:space="preserve"> Jedná se o rekord</w:t>
      </w:r>
      <w:r w:rsidR="006635C2">
        <w:rPr>
          <w:rFonts w:cstheme="minorHAnsi"/>
          <w:b/>
          <w:i/>
        </w:rPr>
        <w:t>ní částk</w:t>
      </w:r>
      <w:r w:rsidR="00261E17">
        <w:rPr>
          <w:rFonts w:cstheme="minorHAnsi"/>
          <w:b/>
          <w:i/>
        </w:rPr>
        <w:t>u</w:t>
      </w:r>
      <w:r w:rsidR="003335E1">
        <w:rPr>
          <w:rFonts w:cstheme="minorHAnsi"/>
          <w:b/>
          <w:i/>
        </w:rPr>
        <w:t xml:space="preserve"> za více než dvacetiletou historii úřadu, padla </w:t>
      </w:r>
      <w:r w:rsidR="000B4B84">
        <w:rPr>
          <w:rFonts w:cstheme="minorHAnsi"/>
          <w:b/>
          <w:i/>
        </w:rPr>
        <w:t>rovněž</w:t>
      </w:r>
      <w:r w:rsidR="003335E1">
        <w:rPr>
          <w:rFonts w:cstheme="minorHAnsi"/>
          <w:b/>
          <w:i/>
        </w:rPr>
        <w:t xml:space="preserve"> nejvyšší sankce</w:t>
      </w:r>
      <w:r w:rsidR="006D60D5">
        <w:rPr>
          <w:rFonts w:cstheme="minorHAnsi"/>
          <w:b/>
          <w:i/>
        </w:rPr>
        <w:t xml:space="preserve"> v jediném řízení</w:t>
      </w:r>
      <w:r w:rsidR="003335E1">
        <w:rPr>
          <w:rFonts w:cstheme="minorHAnsi"/>
          <w:b/>
          <w:i/>
        </w:rPr>
        <w:t xml:space="preserve">. ERÚ dodavatele přísně pokutoval zejména za nedodržení fixovaných cen a za pozdní vyúčtovávání. </w:t>
      </w:r>
      <w:r w:rsidR="0051514D">
        <w:rPr>
          <w:rFonts w:cstheme="minorHAnsi"/>
          <w:b/>
          <w:i/>
        </w:rPr>
        <w:t>P</w:t>
      </w:r>
      <w:r w:rsidR="000B4B84">
        <w:rPr>
          <w:rFonts w:cstheme="minorHAnsi"/>
          <w:b/>
          <w:i/>
        </w:rPr>
        <w:t xml:space="preserve">řibylo </w:t>
      </w:r>
      <w:r w:rsidR="00261E17">
        <w:rPr>
          <w:rFonts w:cstheme="minorHAnsi"/>
          <w:b/>
          <w:i/>
        </w:rPr>
        <w:t xml:space="preserve">kontrol i </w:t>
      </w:r>
      <w:r w:rsidR="003335E1">
        <w:rPr>
          <w:rFonts w:cstheme="minorHAnsi"/>
          <w:b/>
          <w:i/>
        </w:rPr>
        <w:t>vysokých pokut</w:t>
      </w:r>
      <w:r w:rsidR="000B4B84">
        <w:rPr>
          <w:rFonts w:cstheme="minorHAnsi"/>
          <w:b/>
          <w:i/>
        </w:rPr>
        <w:t xml:space="preserve"> pro zprostředkovatele. </w:t>
      </w:r>
    </w:p>
    <w:p w14:paraId="0CB524A1" w14:textId="0EBD2DD9" w:rsidR="00AD428E" w:rsidRDefault="006D60D5" w:rsidP="006D60D5">
      <w:pPr>
        <w:spacing w:before="240" w:after="360"/>
        <w:jc w:val="both"/>
      </w:pPr>
      <w:r w:rsidRPr="006D60D5">
        <w:rPr>
          <w:rFonts w:cstheme="minorHAnsi"/>
          <w:i/>
        </w:rPr>
        <w:t>„</w:t>
      </w:r>
      <w:r w:rsidRPr="006D60D5">
        <w:rPr>
          <w:i/>
        </w:rPr>
        <w:t xml:space="preserve">Loni jsme trestali prohřešky, kterých se dodavatelé a zprostředkovatelé dopustili vůči svým klientům. </w:t>
      </w:r>
      <w:r>
        <w:rPr>
          <w:i/>
        </w:rPr>
        <w:t xml:space="preserve">To vedlo hned k několika nelichotivým rekordům. V roce 2024 jsme udělili </w:t>
      </w:r>
      <w:r w:rsidR="00696466">
        <w:rPr>
          <w:i/>
        </w:rPr>
        <w:t>vůbec nejvyšší pokutu</w:t>
      </w:r>
      <w:r w:rsidR="00696466" w:rsidRPr="001C1F61">
        <w:rPr>
          <w:i/>
        </w:rPr>
        <w:t xml:space="preserve"> </w:t>
      </w:r>
      <w:r w:rsidR="001C1F61" w:rsidRPr="001C1F61">
        <w:rPr>
          <w:i/>
        </w:rPr>
        <w:t xml:space="preserve">za praktiky </w:t>
      </w:r>
      <w:r w:rsidR="006635C2">
        <w:rPr>
          <w:i/>
        </w:rPr>
        <w:t>proti spotřebitelům</w:t>
      </w:r>
      <w:r w:rsidR="00396672">
        <w:rPr>
          <w:i/>
        </w:rPr>
        <w:t>,</w:t>
      </w:r>
      <w:r>
        <w:rPr>
          <w:i/>
        </w:rPr>
        <w:t xml:space="preserve"> </w:t>
      </w:r>
      <w:r w:rsidR="00396672">
        <w:rPr>
          <w:i/>
        </w:rPr>
        <w:t>r</w:t>
      </w:r>
      <w:r>
        <w:rPr>
          <w:i/>
        </w:rPr>
        <w:t>ekordní byl</w:t>
      </w:r>
      <w:r w:rsidR="00F606BF">
        <w:rPr>
          <w:i/>
        </w:rPr>
        <w:t>a</w:t>
      </w:r>
      <w:r>
        <w:rPr>
          <w:i/>
        </w:rPr>
        <w:t xml:space="preserve"> </w:t>
      </w:r>
      <w:r w:rsidR="006635C2">
        <w:rPr>
          <w:i/>
        </w:rPr>
        <w:t xml:space="preserve">i </w:t>
      </w:r>
      <w:r w:rsidR="00F606BF">
        <w:rPr>
          <w:i/>
        </w:rPr>
        <w:t xml:space="preserve">celková </w:t>
      </w:r>
      <w:r>
        <w:rPr>
          <w:i/>
        </w:rPr>
        <w:t>výše sankcí</w:t>
      </w:r>
      <w:r w:rsidR="000B2246">
        <w:rPr>
          <w:i/>
        </w:rPr>
        <w:t xml:space="preserve">,“ </w:t>
      </w:r>
      <w:r w:rsidR="000B4B84" w:rsidRPr="000B4B84">
        <w:t xml:space="preserve">shrnuje </w:t>
      </w:r>
      <w:r w:rsidR="006635C2">
        <w:rPr>
          <w:b/>
        </w:rPr>
        <w:t>Jan Šefránek</w:t>
      </w:r>
      <w:r w:rsidR="000B4B84" w:rsidRPr="000B4B84">
        <w:rPr>
          <w:b/>
        </w:rPr>
        <w:t xml:space="preserve">, </w:t>
      </w:r>
      <w:r w:rsidR="006635C2">
        <w:rPr>
          <w:b/>
        </w:rPr>
        <w:t>předseda</w:t>
      </w:r>
      <w:r w:rsidR="006635C2" w:rsidRPr="000B4B84">
        <w:rPr>
          <w:b/>
        </w:rPr>
        <w:t xml:space="preserve"> </w:t>
      </w:r>
      <w:r w:rsidR="000B4B84" w:rsidRPr="000B4B84">
        <w:rPr>
          <w:b/>
        </w:rPr>
        <w:t>Rady ERÚ</w:t>
      </w:r>
      <w:r w:rsidR="000B4B84" w:rsidRPr="000B4B84">
        <w:t>.</w:t>
      </w:r>
      <w:r w:rsidR="000B4B84">
        <w:t xml:space="preserve"> </w:t>
      </w:r>
      <w:r w:rsidR="000B4B84" w:rsidRPr="000B4B84">
        <w:rPr>
          <w:i/>
        </w:rPr>
        <w:t>„</w:t>
      </w:r>
      <w:r w:rsidR="00261E17">
        <w:rPr>
          <w:i/>
        </w:rPr>
        <w:t>Č</w:t>
      </w:r>
      <w:r w:rsidR="000B4B84" w:rsidRPr="000B4B84">
        <w:rPr>
          <w:i/>
        </w:rPr>
        <w:t xml:space="preserve">asto </w:t>
      </w:r>
      <w:r w:rsidR="00261E17">
        <w:rPr>
          <w:i/>
        </w:rPr>
        <w:t xml:space="preserve">jsme </w:t>
      </w:r>
      <w:r w:rsidR="000B4B84" w:rsidRPr="000B4B84">
        <w:rPr>
          <w:i/>
        </w:rPr>
        <w:t xml:space="preserve">řešili </w:t>
      </w:r>
      <w:r w:rsidR="00261E17">
        <w:rPr>
          <w:i/>
        </w:rPr>
        <w:t xml:space="preserve">problémy s </w:t>
      </w:r>
      <w:r w:rsidR="000B4B84" w:rsidRPr="000B4B84">
        <w:rPr>
          <w:i/>
        </w:rPr>
        <w:t>vyúčtování</w:t>
      </w:r>
      <w:r w:rsidR="00261E17">
        <w:rPr>
          <w:i/>
        </w:rPr>
        <w:t>m</w:t>
      </w:r>
      <w:r w:rsidR="000B4B84" w:rsidRPr="000B4B84">
        <w:rPr>
          <w:i/>
        </w:rPr>
        <w:t xml:space="preserve">, které někteří dodavatelé </w:t>
      </w:r>
      <w:r w:rsidR="00696466">
        <w:rPr>
          <w:i/>
        </w:rPr>
        <w:t xml:space="preserve">ani </w:t>
      </w:r>
      <w:r w:rsidR="000B4B84" w:rsidRPr="000B4B84">
        <w:rPr>
          <w:i/>
        </w:rPr>
        <w:t xml:space="preserve">nezasílali. </w:t>
      </w:r>
      <w:r w:rsidR="002F3499">
        <w:rPr>
          <w:i/>
        </w:rPr>
        <w:t xml:space="preserve">Určité </w:t>
      </w:r>
      <w:r w:rsidR="000B4B84">
        <w:rPr>
          <w:i/>
        </w:rPr>
        <w:t xml:space="preserve">pokuty, včetně </w:t>
      </w:r>
      <w:r w:rsidR="00261E17" w:rsidRPr="006D7C8B">
        <w:t>té nejvyš</w:t>
      </w:r>
      <w:r w:rsidR="00261E17">
        <w:rPr>
          <w:i/>
        </w:rPr>
        <w:t>ší</w:t>
      </w:r>
      <w:r w:rsidR="000B4B84">
        <w:rPr>
          <w:i/>
        </w:rPr>
        <w:t>, se</w:t>
      </w:r>
      <w:r w:rsidR="00507A3E">
        <w:rPr>
          <w:i/>
        </w:rPr>
        <w:t> </w:t>
      </w:r>
      <w:r w:rsidR="000B4B84">
        <w:rPr>
          <w:i/>
        </w:rPr>
        <w:t>týkaly prohřešků způsoben</w:t>
      </w:r>
      <w:r w:rsidR="00396672">
        <w:rPr>
          <w:i/>
        </w:rPr>
        <w:t>ý</w:t>
      </w:r>
      <w:r w:rsidR="000B4B84">
        <w:rPr>
          <w:i/>
        </w:rPr>
        <w:t xml:space="preserve">ch ještě během </w:t>
      </w:r>
      <w:r w:rsidR="0051514D">
        <w:rPr>
          <w:i/>
        </w:rPr>
        <w:t xml:space="preserve">energetické </w:t>
      </w:r>
      <w:r w:rsidR="000B4B84">
        <w:rPr>
          <w:i/>
        </w:rPr>
        <w:t xml:space="preserve">krize,“ </w:t>
      </w:r>
      <w:r w:rsidR="00AD428E" w:rsidRPr="00AD428E">
        <w:t>dopl</w:t>
      </w:r>
      <w:r w:rsidR="00246C47">
        <w:t>ňuje</w:t>
      </w:r>
      <w:r w:rsidR="00AD428E" w:rsidRPr="00AD428E">
        <w:t xml:space="preserve"> </w:t>
      </w:r>
      <w:r w:rsidR="00696466" w:rsidRPr="006D7C8B">
        <w:rPr>
          <w:b/>
        </w:rPr>
        <w:t xml:space="preserve">Jan </w:t>
      </w:r>
      <w:r w:rsidR="006635C2">
        <w:rPr>
          <w:b/>
        </w:rPr>
        <w:t>Šefránek</w:t>
      </w:r>
      <w:r w:rsidR="00AD428E" w:rsidRPr="00AD428E">
        <w:t>.</w:t>
      </w:r>
      <w:r w:rsidR="00AD428E">
        <w:t xml:space="preserve"> </w:t>
      </w:r>
    </w:p>
    <w:p w14:paraId="0142AE07" w14:textId="0A949150" w:rsidR="00EE50EC" w:rsidRDefault="00AD428E" w:rsidP="006D60D5">
      <w:pPr>
        <w:spacing w:before="240" w:after="360"/>
        <w:jc w:val="both"/>
      </w:pPr>
      <w:r>
        <w:t>V </w:t>
      </w:r>
      <w:r w:rsidR="00261E17">
        <w:t xml:space="preserve">některých </w:t>
      </w:r>
      <w:r>
        <w:t xml:space="preserve">případech byly </w:t>
      </w:r>
      <w:r w:rsidR="00261E17">
        <w:t xml:space="preserve">pravomocné </w:t>
      </w:r>
      <w:r>
        <w:t xml:space="preserve">pokuty udělené se zpožděním proto, že dodavatelé proti </w:t>
      </w:r>
      <w:proofErr w:type="spellStart"/>
      <w:r w:rsidR="001306A6">
        <w:t>provostupňovému</w:t>
      </w:r>
      <w:proofErr w:type="spellEnd"/>
      <w:r w:rsidR="001306A6">
        <w:t xml:space="preserve"> </w:t>
      </w:r>
      <w:r>
        <w:t xml:space="preserve">rozhodnutí </w:t>
      </w:r>
      <w:r w:rsidR="00261E17">
        <w:t xml:space="preserve">úřadu </w:t>
      </w:r>
      <w:r>
        <w:t>podali tzv. rozklad, který je ve správním řízení jakousi obdobou odvolání.</w:t>
      </w:r>
      <w:r w:rsidR="00261E17">
        <w:t xml:space="preserve"> Následně byly řešeny </w:t>
      </w:r>
      <w:r w:rsidR="00696466">
        <w:t>a dokončen</w:t>
      </w:r>
      <w:r w:rsidR="006D7C8B">
        <w:t>y</w:t>
      </w:r>
      <w:r w:rsidR="00696466">
        <w:t xml:space="preserve"> </w:t>
      </w:r>
      <w:r w:rsidR="00261E17">
        <w:t xml:space="preserve">v rámci druhé instance. Další </w:t>
      </w:r>
      <w:r w:rsidR="002024DE">
        <w:t>pokuty byly v loňském roce uložené zatím v prvním stupni.</w:t>
      </w:r>
      <w:r w:rsidR="0020748A">
        <w:t xml:space="preserve"> Kromě pokutování může ERÚ v</w:t>
      </w:r>
      <w:r w:rsidR="00E25B4A">
        <w:t xml:space="preserve"> krajním případě </w:t>
      </w:r>
      <w:r w:rsidR="0020748A">
        <w:t>sáhnout i ke zrušení licence; v loňském roce takto potrestal dodavatele Lidová energie</w:t>
      </w:r>
      <w:r w:rsidR="00E25B4A">
        <w:t xml:space="preserve">, který tak už na trhu nesmí působit. </w:t>
      </w:r>
      <w:r w:rsidR="0020748A">
        <w:t xml:space="preserve">  </w:t>
      </w:r>
      <w:r w:rsidR="002024DE">
        <w:t xml:space="preserve"> </w:t>
      </w:r>
    </w:p>
    <w:p w14:paraId="448F966B" w14:textId="77777777" w:rsidR="0069572A" w:rsidRDefault="0069572A" w:rsidP="0069572A">
      <w:pPr>
        <w:spacing w:before="240" w:after="360"/>
        <w:jc w:val="both"/>
        <w:rPr>
          <w:b/>
        </w:rPr>
      </w:pPr>
      <w:r w:rsidRPr="00F3308A">
        <w:rPr>
          <w:i/>
        </w:rPr>
        <w:t>„</w:t>
      </w:r>
      <w:r>
        <w:rPr>
          <w:i/>
        </w:rPr>
        <w:t xml:space="preserve">Nepoctiví dodavatelé a zprostředkovatelé si mohou být jistí, že našim kontrolám a pokutám se nevyhnou ani v budoucnu. </w:t>
      </w:r>
      <w:r w:rsidRPr="00F3308A">
        <w:rPr>
          <w:i/>
        </w:rPr>
        <w:t xml:space="preserve">Několik sankcí, a to i velmi vysokých, jsme </w:t>
      </w:r>
      <w:r>
        <w:rPr>
          <w:i/>
        </w:rPr>
        <w:t xml:space="preserve">ostatně již </w:t>
      </w:r>
      <w:r w:rsidRPr="00F3308A">
        <w:rPr>
          <w:i/>
        </w:rPr>
        <w:t>udělili v prvním stupni</w:t>
      </w:r>
      <w:r>
        <w:rPr>
          <w:i/>
        </w:rPr>
        <w:t xml:space="preserve"> a letos je dokončíme</w:t>
      </w:r>
      <w:r w:rsidRPr="00F3308A">
        <w:rPr>
          <w:i/>
        </w:rPr>
        <w:t xml:space="preserve">. Kromě stíhání prohřešků </w:t>
      </w:r>
      <w:r>
        <w:rPr>
          <w:i/>
        </w:rPr>
        <w:t xml:space="preserve">budeme klást </w:t>
      </w:r>
      <w:r w:rsidRPr="00F3308A">
        <w:rPr>
          <w:i/>
        </w:rPr>
        <w:t xml:space="preserve">velký důraz </w:t>
      </w:r>
      <w:r>
        <w:rPr>
          <w:i/>
        </w:rPr>
        <w:t>také</w:t>
      </w:r>
      <w:r w:rsidRPr="00F3308A">
        <w:rPr>
          <w:i/>
        </w:rPr>
        <w:t xml:space="preserve"> na jejich předcházení. Klíčové jsou pro nás jak osvěta spotřebitelů, tak posilování jejich práv a zpřísňování podmínek pro </w:t>
      </w:r>
      <w:r>
        <w:rPr>
          <w:i/>
        </w:rPr>
        <w:t xml:space="preserve">nepoctivé </w:t>
      </w:r>
      <w:r w:rsidRPr="00F3308A">
        <w:rPr>
          <w:i/>
        </w:rPr>
        <w:t>obchodníky,“</w:t>
      </w:r>
      <w:r>
        <w:t xml:space="preserve"> říká </w:t>
      </w:r>
      <w:r w:rsidRPr="00F3308A">
        <w:rPr>
          <w:b/>
        </w:rPr>
        <w:t xml:space="preserve">Jan Šefránek, předseda Rady ERÚ.  </w:t>
      </w:r>
    </w:p>
    <w:p w14:paraId="5283347F" w14:textId="28276BB2" w:rsidR="00EE50EC" w:rsidRDefault="00EE50EC" w:rsidP="006D60D5">
      <w:pPr>
        <w:spacing w:before="240" w:after="360"/>
        <w:jc w:val="both"/>
      </w:pPr>
      <w:r>
        <w:t>Samotnému sankčnímu řízení, v němž se rozhoduje o pokutách</w:t>
      </w:r>
      <w:r w:rsidR="0020748A">
        <w:t xml:space="preserve"> či odebrání licence</w:t>
      </w:r>
      <w:r>
        <w:t xml:space="preserve">, </w:t>
      </w:r>
      <w:r w:rsidR="002A16BF">
        <w:t xml:space="preserve">často </w:t>
      </w:r>
      <w:r>
        <w:t xml:space="preserve">předchází </w:t>
      </w:r>
      <w:r w:rsidR="002A16BF">
        <w:t>dozorová činnost</w:t>
      </w:r>
      <w:r>
        <w:t xml:space="preserve">. ERÚ loni </w:t>
      </w:r>
      <w:r w:rsidR="00261E17">
        <w:t xml:space="preserve">obdržel </w:t>
      </w:r>
      <w:r>
        <w:t xml:space="preserve">celkem 480 </w:t>
      </w:r>
      <w:r w:rsidR="002A16BF" w:rsidRPr="002A16BF">
        <w:t xml:space="preserve">podnětů </w:t>
      </w:r>
      <w:r w:rsidR="006D7C8B">
        <w:t>na</w:t>
      </w:r>
      <w:r w:rsidR="002A16BF" w:rsidRPr="002A16BF">
        <w:t xml:space="preserve"> kontrol</w:t>
      </w:r>
      <w:r w:rsidR="006D7C8B">
        <w:t xml:space="preserve">u </w:t>
      </w:r>
      <w:r w:rsidR="00123F0C">
        <w:t xml:space="preserve">jednání </w:t>
      </w:r>
      <w:r w:rsidR="002A16BF" w:rsidRPr="002A16BF">
        <w:t>dodavatel</w:t>
      </w:r>
      <w:r w:rsidR="00123F0C">
        <w:t>ů</w:t>
      </w:r>
      <w:r w:rsidR="002A16BF" w:rsidRPr="002A16BF">
        <w:t xml:space="preserve"> </w:t>
      </w:r>
      <w:r w:rsidR="002A16BF">
        <w:t>a</w:t>
      </w:r>
      <w:r w:rsidR="00696466">
        <w:t> </w:t>
      </w:r>
      <w:r w:rsidR="002A16BF">
        <w:t>zprostředkovatel</w:t>
      </w:r>
      <w:r w:rsidR="00123F0C">
        <w:t>ů</w:t>
      </w:r>
      <w:r w:rsidR="006D7C8B">
        <w:t xml:space="preserve"> vůči spotřebitelům. </w:t>
      </w:r>
      <w:r w:rsidR="002A16BF">
        <w:t xml:space="preserve">Meziročně se sice jedná o pokles (v roce 2023 to bylo 668), </w:t>
      </w:r>
      <w:r w:rsidR="00107DD1">
        <w:t xml:space="preserve">i tak však bylo podnětů </w:t>
      </w:r>
      <w:r w:rsidR="002A16BF">
        <w:t xml:space="preserve">více, než za roky 2020 a 2021 dohromady. </w:t>
      </w:r>
    </w:p>
    <w:p w14:paraId="22A62130" w14:textId="0B5B4942" w:rsidR="00F3308A" w:rsidRPr="001C1F61" w:rsidRDefault="002024DE" w:rsidP="006D60D5">
      <w:pPr>
        <w:spacing w:before="240" w:after="360"/>
        <w:jc w:val="both"/>
        <w:rPr>
          <w:i/>
        </w:rPr>
      </w:pPr>
      <w:r w:rsidRPr="00246C47">
        <w:rPr>
          <w:i/>
        </w:rPr>
        <w:t xml:space="preserve">„Nejvíc podnětů směřovalo na </w:t>
      </w:r>
      <w:r w:rsidR="00107DD1">
        <w:rPr>
          <w:i/>
        </w:rPr>
        <w:t xml:space="preserve">kontrolu </w:t>
      </w:r>
      <w:r w:rsidR="0021228F">
        <w:rPr>
          <w:i/>
        </w:rPr>
        <w:t>obchodníků</w:t>
      </w:r>
      <w:r w:rsidRPr="00246C47">
        <w:rPr>
          <w:i/>
        </w:rPr>
        <w:t xml:space="preserve">. Nejčastějším problémem bylo, že vyúčtování za </w:t>
      </w:r>
      <w:r w:rsidR="00107DD1">
        <w:rPr>
          <w:i/>
        </w:rPr>
        <w:t xml:space="preserve">energii </w:t>
      </w:r>
      <w:r w:rsidRPr="00246C47">
        <w:rPr>
          <w:i/>
        </w:rPr>
        <w:t>vystavili buď pozdě, nebo ho nevyhotovili vůbec. Obraceli se na nás také výrobci elektřiny z fotovoltaických elektráren, kteří měli za to, že obchodníci jim</w:t>
      </w:r>
      <w:r w:rsidR="00246C47" w:rsidRPr="00246C47">
        <w:rPr>
          <w:i/>
        </w:rPr>
        <w:t xml:space="preserve"> </w:t>
      </w:r>
      <w:r w:rsidRPr="00246C47">
        <w:rPr>
          <w:i/>
        </w:rPr>
        <w:t xml:space="preserve">neadekvátně </w:t>
      </w:r>
      <w:r w:rsidR="0021228F">
        <w:rPr>
          <w:i/>
        </w:rPr>
        <w:t xml:space="preserve">snížili výkupní </w:t>
      </w:r>
      <w:r w:rsidRPr="00246C47">
        <w:rPr>
          <w:i/>
        </w:rPr>
        <w:t xml:space="preserve">cenu za </w:t>
      </w:r>
      <w:r w:rsidR="0021228F">
        <w:rPr>
          <w:i/>
        </w:rPr>
        <w:t>odběr</w:t>
      </w:r>
      <w:r w:rsidR="00246C47" w:rsidRPr="00246C47">
        <w:rPr>
          <w:i/>
        </w:rPr>
        <w:t xml:space="preserve">. V těchto případech záleží na individuálním posouzení, </w:t>
      </w:r>
      <w:r w:rsidR="0021228F">
        <w:rPr>
          <w:i/>
        </w:rPr>
        <w:t xml:space="preserve">zda </w:t>
      </w:r>
      <w:r w:rsidR="001F06D8">
        <w:rPr>
          <w:i/>
        </w:rPr>
        <w:t xml:space="preserve">to </w:t>
      </w:r>
      <w:r w:rsidR="0021228F">
        <w:rPr>
          <w:i/>
        </w:rPr>
        <w:t>umožňují smluvní podmínky</w:t>
      </w:r>
      <w:r w:rsidR="00246C47" w:rsidRPr="00246C47">
        <w:rPr>
          <w:i/>
        </w:rPr>
        <w:t>,“</w:t>
      </w:r>
      <w:r w:rsidR="00246C47">
        <w:t xml:space="preserve"> vysvětluje </w:t>
      </w:r>
      <w:r w:rsidR="00246C47" w:rsidRPr="00246C47">
        <w:rPr>
          <w:b/>
        </w:rPr>
        <w:t>Martin Bortlík, ředitel sekce kontroly</w:t>
      </w:r>
      <w:r w:rsidR="00246C47">
        <w:t xml:space="preserve">. </w:t>
      </w:r>
      <w:r w:rsidR="00246C47" w:rsidRPr="00396672">
        <w:rPr>
          <w:i/>
        </w:rPr>
        <w:t xml:space="preserve">„Výrazně vzrostl počet podnětů na jednání zprostředkovatelů, proti roku 2023 </w:t>
      </w:r>
      <w:r w:rsidR="0069572A">
        <w:rPr>
          <w:i/>
        </w:rPr>
        <w:t xml:space="preserve">až </w:t>
      </w:r>
      <w:r w:rsidR="00246C47" w:rsidRPr="00396672">
        <w:rPr>
          <w:i/>
        </w:rPr>
        <w:t xml:space="preserve">na </w:t>
      </w:r>
      <w:r w:rsidR="001C1F61">
        <w:rPr>
          <w:i/>
        </w:rPr>
        <w:t>trojnásobek.</w:t>
      </w:r>
      <w:r w:rsidR="00246C47" w:rsidRPr="00396672">
        <w:rPr>
          <w:i/>
        </w:rPr>
        <w:t xml:space="preserve"> </w:t>
      </w:r>
      <w:proofErr w:type="spellStart"/>
      <w:r w:rsidR="00246C47" w:rsidRPr="00396672">
        <w:rPr>
          <w:i/>
        </w:rPr>
        <w:t>Energošmejdi</w:t>
      </w:r>
      <w:proofErr w:type="spellEnd"/>
      <w:r w:rsidR="00246C47" w:rsidRPr="00396672">
        <w:rPr>
          <w:i/>
        </w:rPr>
        <w:t xml:space="preserve"> se bohužel aktivizovali v souvislosti s oživením trhu</w:t>
      </w:r>
      <w:r w:rsidR="00396672" w:rsidRPr="00396672">
        <w:rPr>
          <w:i/>
        </w:rPr>
        <w:t>.</w:t>
      </w:r>
      <w:r w:rsidR="00246C47" w:rsidRPr="00396672">
        <w:rPr>
          <w:i/>
        </w:rPr>
        <w:t xml:space="preserve"> </w:t>
      </w:r>
      <w:r w:rsidR="00396672" w:rsidRPr="00396672">
        <w:rPr>
          <w:i/>
        </w:rPr>
        <w:t>Č</w:t>
      </w:r>
      <w:r w:rsidR="00246C47" w:rsidRPr="00396672">
        <w:rPr>
          <w:i/>
        </w:rPr>
        <w:t>asto svou činnost vykonáv</w:t>
      </w:r>
      <w:r w:rsidR="00107DD1">
        <w:rPr>
          <w:i/>
        </w:rPr>
        <w:t>a</w:t>
      </w:r>
      <w:r w:rsidR="0021228F">
        <w:rPr>
          <w:i/>
        </w:rPr>
        <w:t>jí neoprávněně</w:t>
      </w:r>
      <w:r w:rsidR="00246C47" w:rsidRPr="00396672">
        <w:rPr>
          <w:i/>
        </w:rPr>
        <w:t xml:space="preserve"> bez registrace</w:t>
      </w:r>
      <w:r w:rsidR="00396672" w:rsidRPr="00396672">
        <w:rPr>
          <w:i/>
        </w:rPr>
        <w:t xml:space="preserve">, tady se ale dá </w:t>
      </w:r>
      <w:r w:rsidR="0021228F">
        <w:rPr>
          <w:i/>
        </w:rPr>
        <w:t xml:space="preserve">budoucím </w:t>
      </w:r>
      <w:r w:rsidR="00396672" w:rsidRPr="00396672">
        <w:rPr>
          <w:i/>
        </w:rPr>
        <w:t>problém</w:t>
      </w:r>
      <w:r w:rsidR="0021228F">
        <w:rPr>
          <w:i/>
        </w:rPr>
        <w:t>ům</w:t>
      </w:r>
      <w:r w:rsidR="00396672" w:rsidRPr="00396672">
        <w:rPr>
          <w:i/>
        </w:rPr>
        <w:t xml:space="preserve"> jednoduše předejít,</w:t>
      </w:r>
      <w:hyperlink r:id="rId13" w:history="1">
        <w:r w:rsidR="00396672" w:rsidRPr="00107DD1">
          <w:rPr>
            <w:rStyle w:val="Hypertextovodkaz"/>
            <w:i/>
          </w:rPr>
          <w:t xml:space="preserve"> registr</w:t>
        </w:r>
      </w:hyperlink>
      <w:r w:rsidR="00396672" w:rsidRPr="00396672">
        <w:rPr>
          <w:i/>
        </w:rPr>
        <w:t xml:space="preserve"> je totiž veřejně přístupný na našem webu,“</w:t>
      </w:r>
      <w:r w:rsidR="00396672">
        <w:t xml:space="preserve"> radí </w:t>
      </w:r>
      <w:r w:rsidR="00396672" w:rsidRPr="00396672">
        <w:rPr>
          <w:b/>
        </w:rPr>
        <w:t>Martin Bortlík</w:t>
      </w:r>
      <w:r w:rsidR="00396672">
        <w:t xml:space="preserve">. </w:t>
      </w:r>
    </w:p>
    <w:p w14:paraId="1CF7DE82" w14:textId="3D493ADD" w:rsidR="00396672" w:rsidRDefault="00107DD1" w:rsidP="006D60D5">
      <w:pPr>
        <w:spacing w:before="240" w:after="360"/>
        <w:jc w:val="both"/>
      </w:pPr>
      <w:r>
        <w:t>Svou d</w:t>
      </w:r>
      <w:r w:rsidR="00396672">
        <w:t xml:space="preserve">ozorovou činnost ERÚ blíže představí </w:t>
      </w:r>
      <w:r>
        <w:t xml:space="preserve">na </w:t>
      </w:r>
      <w:hyperlink r:id="rId14" w:history="1">
        <w:proofErr w:type="spellStart"/>
        <w:r w:rsidR="00396672" w:rsidRPr="00107DD1">
          <w:rPr>
            <w:rStyle w:val="Hypertextovodkaz"/>
          </w:rPr>
          <w:t>we</w:t>
        </w:r>
        <w:r w:rsidR="00396672" w:rsidRPr="00107DD1">
          <w:rPr>
            <w:rStyle w:val="Hypertextovodkaz"/>
          </w:rPr>
          <w:t>binář</w:t>
        </w:r>
        <w:r w:rsidRPr="00107DD1">
          <w:rPr>
            <w:rStyle w:val="Hypertextovodkaz"/>
          </w:rPr>
          <w:t>i</w:t>
        </w:r>
        <w:proofErr w:type="spellEnd"/>
      </w:hyperlink>
      <w:r w:rsidR="00396672">
        <w:t xml:space="preserve">, </w:t>
      </w:r>
      <w:r>
        <w:t xml:space="preserve">který proběhne </w:t>
      </w:r>
      <w:r w:rsidR="00CB10A3">
        <w:t xml:space="preserve">ve středu </w:t>
      </w:r>
      <w:r w:rsidR="00396672">
        <w:t xml:space="preserve">12. března. </w:t>
      </w:r>
    </w:p>
    <w:p w14:paraId="4137F163" w14:textId="77777777" w:rsidR="00107DD1" w:rsidRPr="00107DD1" w:rsidRDefault="00107DD1" w:rsidP="00107DD1">
      <w:pPr>
        <w:spacing w:before="240" w:after="360"/>
        <w:jc w:val="both"/>
        <w:rPr>
          <w:b/>
        </w:rPr>
      </w:pPr>
    </w:p>
    <w:tbl>
      <w:tblPr>
        <w:tblW w:w="977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81"/>
        <w:gridCol w:w="3532"/>
        <w:gridCol w:w="1860"/>
        <w:gridCol w:w="1798"/>
      </w:tblGrid>
      <w:tr w:rsidR="00ED35C6" w:rsidRPr="003D7B3E" w14:paraId="4294136A" w14:textId="77777777" w:rsidTr="000D4C8F">
        <w:trPr>
          <w:trHeight w:val="679"/>
        </w:trPr>
        <w:tc>
          <w:tcPr>
            <w:tcW w:w="977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50A9EF" w14:textId="00F1B09A" w:rsidR="00ED35C6" w:rsidRPr="003D7B3E" w:rsidRDefault="00ED35C6" w:rsidP="000D4C8F">
            <w:pPr>
              <w:jc w:val="center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lastRenderedPageBreak/>
              <w:t xml:space="preserve">MILIONOVÉ POKUTY </w:t>
            </w:r>
            <w:r w:rsidR="00EE50EC">
              <w:rPr>
                <w:rFonts w:eastAsia="Times New Roman"/>
                <w:b/>
                <w:color w:val="000000"/>
              </w:rPr>
              <w:t xml:space="preserve">V ROCE </w:t>
            </w:r>
            <w:r>
              <w:rPr>
                <w:rFonts w:eastAsia="Times New Roman"/>
                <w:b/>
                <w:color w:val="000000"/>
              </w:rPr>
              <w:t>2024</w:t>
            </w:r>
          </w:p>
        </w:tc>
      </w:tr>
      <w:tr w:rsidR="00ED35C6" w:rsidRPr="003D7B3E" w14:paraId="225984DD" w14:textId="77777777" w:rsidTr="000D4C8F">
        <w:trPr>
          <w:trHeight w:val="332"/>
        </w:trPr>
        <w:tc>
          <w:tcPr>
            <w:tcW w:w="25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98EF7" w14:textId="77777777" w:rsidR="00ED35C6" w:rsidRPr="003D7B3E" w:rsidRDefault="00ED35C6" w:rsidP="000D4C8F">
            <w:pPr>
              <w:jc w:val="center"/>
              <w:rPr>
                <w:rFonts w:eastAsia="Times New Roman"/>
                <w:b/>
                <w:color w:val="000000"/>
              </w:rPr>
            </w:pPr>
            <w:r w:rsidRPr="003D7B3E">
              <w:rPr>
                <w:rFonts w:eastAsia="Times New Roman"/>
                <w:b/>
                <w:color w:val="000000"/>
              </w:rPr>
              <w:t xml:space="preserve">Výše sankce </w:t>
            </w:r>
          </w:p>
        </w:tc>
        <w:tc>
          <w:tcPr>
            <w:tcW w:w="3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E822D" w14:textId="77777777" w:rsidR="00ED35C6" w:rsidRPr="003D7B3E" w:rsidRDefault="00ED35C6" w:rsidP="000D4C8F">
            <w:pPr>
              <w:jc w:val="center"/>
              <w:rPr>
                <w:rFonts w:eastAsia="Times New Roman"/>
                <w:b/>
                <w:color w:val="000000"/>
              </w:rPr>
            </w:pPr>
            <w:r w:rsidRPr="003D7B3E">
              <w:rPr>
                <w:rFonts w:eastAsia="Times New Roman"/>
                <w:b/>
                <w:color w:val="000000"/>
              </w:rPr>
              <w:t>Dodavatel</w:t>
            </w:r>
            <w:r>
              <w:rPr>
                <w:rFonts w:eastAsia="Times New Roman"/>
                <w:b/>
                <w:color w:val="000000"/>
              </w:rPr>
              <w:t>/Zprostředkovatel</w:t>
            </w:r>
            <w:r w:rsidRPr="003D7B3E">
              <w:rPr>
                <w:rFonts w:eastAsia="Times New Roman"/>
                <w:b/>
                <w:color w:val="000000"/>
              </w:rPr>
              <w:t xml:space="preserve"> 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5007F" w14:textId="77777777" w:rsidR="00ED35C6" w:rsidRPr="003D7B3E" w:rsidRDefault="00ED35C6" w:rsidP="000D4C8F">
            <w:pPr>
              <w:jc w:val="center"/>
              <w:rPr>
                <w:rFonts w:eastAsia="Times New Roman"/>
                <w:b/>
                <w:color w:val="000000"/>
              </w:rPr>
            </w:pPr>
            <w:r w:rsidRPr="003D7B3E">
              <w:rPr>
                <w:rFonts w:eastAsia="Times New Roman"/>
                <w:b/>
                <w:color w:val="000000"/>
              </w:rPr>
              <w:t xml:space="preserve">Nabytí právní moci </w:t>
            </w:r>
          </w:p>
        </w:tc>
        <w:tc>
          <w:tcPr>
            <w:tcW w:w="1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0BD44" w14:textId="77777777" w:rsidR="00ED35C6" w:rsidRPr="003D7B3E" w:rsidRDefault="00ED35C6" w:rsidP="000D4C8F">
            <w:pPr>
              <w:jc w:val="center"/>
              <w:rPr>
                <w:rFonts w:eastAsia="Times New Roman"/>
                <w:b/>
                <w:color w:val="000000"/>
              </w:rPr>
            </w:pPr>
            <w:r w:rsidRPr="003D7B3E">
              <w:rPr>
                <w:rFonts w:eastAsia="Times New Roman"/>
                <w:b/>
                <w:color w:val="000000"/>
              </w:rPr>
              <w:t xml:space="preserve">Zásadní přestupky </w:t>
            </w:r>
          </w:p>
        </w:tc>
      </w:tr>
      <w:tr w:rsidR="00ED35C6" w:rsidRPr="003D7B3E" w14:paraId="2CDE6DFA" w14:textId="77777777" w:rsidTr="000D4C8F">
        <w:trPr>
          <w:trHeight w:val="975"/>
        </w:trPr>
        <w:tc>
          <w:tcPr>
            <w:tcW w:w="25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ADDBD" w14:textId="77777777" w:rsidR="00ED35C6" w:rsidRPr="003D7B3E" w:rsidRDefault="00ED35C6" w:rsidP="000D4C8F">
            <w:pPr>
              <w:jc w:val="center"/>
              <w:rPr>
                <w:rFonts w:eastAsia="Times New Roman"/>
                <w:b/>
                <w:color w:val="000000"/>
              </w:rPr>
            </w:pPr>
            <w:r w:rsidRPr="003D7B3E">
              <w:rPr>
                <w:rFonts w:eastAsia="Times New Roman"/>
                <w:b/>
                <w:color w:val="000000"/>
              </w:rPr>
              <w:t>4 746 000 Kč</w:t>
            </w:r>
          </w:p>
        </w:tc>
        <w:tc>
          <w:tcPr>
            <w:tcW w:w="3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97220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CE2775">
              <w:rPr>
                <w:rFonts w:eastAsia="Times New Roman"/>
                <w:color w:val="000000"/>
              </w:rPr>
              <w:t>ARMEX ENERGY a.s.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C26FF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3D7B3E">
              <w:rPr>
                <w:rFonts w:eastAsia="Times New Roman"/>
                <w:color w:val="000000"/>
              </w:rPr>
              <w:t>10.01.2024</w:t>
            </w:r>
          </w:p>
        </w:tc>
        <w:tc>
          <w:tcPr>
            <w:tcW w:w="1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40B14B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3D7B3E">
              <w:rPr>
                <w:rFonts w:eastAsia="Times New Roman"/>
                <w:color w:val="000000"/>
              </w:rPr>
              <w:t>•</w:t>
            </w:r>
            <w:r>
              <w:rPr>
                <w:rFonts w:eastAsia="Times New Roman"/>
                <w:color w:val="000000"/>
              </w:rPr>
              <w:t xml:space="preserve"> </w:t>
            </w:r>
            <w:r w:rsidRPr="003D7B3E">
              <w:rPr>
                <w:rFonts w:eastAsia="Times New Roman"/>
                <w:color w:val="000000"/>
              </w:rPr>
              <w:t>nedodržení fixní ceny</w:t>
            </w:r>
            <w:r w:rsidRPr="003D7B3E">
              <w:rPr>
                <w:rFonts w:eastAsia="Times New Roman"/>
                <w:color w:val="000000"/>
              </w:rPr>
              <w:br/>
              <w:t xml:space="preserve">• požadování plateb za neobjednané služby </w:t>
            </w:r>
            <w:r w:rsidRPr="003D7B3E">
              <w:rPr>
                <w:rFonts w:eastAsia="Times New Roman"/>
                <w:color w:val="000000"/>
              </w:rPr>
              <w:br/>
              <w:t xml:space="preserve">• nedodržení lhůty při reklamaci </w:t>
            </w:r>
          </w:p>
        </w:tc>
      </w:tr>
      <w:tr w:rsidR="00ED35C6" w:rsidRPr="003D7B3E" w14:paraId="74C72E6D" w14:textId="77777777" w:rsidTr="000D4C8F">
        <w:trPr>
          <w:trHeight w:val="567"/>
        </w:trPr>
        <w:tc>
          <w:tcPr>
            <w:tcW w:w="258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DE097" w14:textId="77777777" w:rsidR="00ED35C6" w:rsidRPr="003D7B3E" w:rsidRDefault="00ED35C6" w:rsidP="000D4C8F">
            <w:pPr>
              <w:jc w:val="center"/>
              <w:rPr>
                <w:rFonts w:eastAsia="Times New Roman"/>
                <w:b/>
                <w:color w:val="000000"/>
              </w:rPr>
            </w:pPr>
            <w:r w:rsidRPr="003D7B3E">
              <w:rPr>
                <w:rFonts w:eastAsia="Times New Roman"/>
                <w:b/>
                <w:color w:val="000000"/>
              </w:rPr>
              <w:t xml:space="preserve">1 500 000 Kč </w:t>
            </w:r>
          </w:p>
        </w:tc>
        <w:tc>
          <w:tcPr>
            <w:tcW w:w="3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0DF9B7" w14:textId="77777777" w:rsidR="00ED35C6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CE2775">
              <w:rPr>
                <w:rFonts w:eastAsia="Times New Roman"/>
                <w:color w:val="000000"/>
              </w:rPr>
              <w:t xml:space="preserve">Marketing 23 s.r.o. </w:t>
            </w:r>
          </w:p>
          <w:p w14:paraId="2E31BADF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CE2775">
              <w:rPr>
                <w:rFonts w:eastAsia="Times New Roman"/>
                <w:color w:val="000000"/>
              </w:rPr>
              <w:t>(dříve Česká srovnávací s.r.o</w:t>
            </w:r>
            <w:bookmarkStart w:id="0" w:name="_GoBack"/>
            <w:bookmarkEnd w:id="0"/>
            <w:r w:rsidRPr="00CE2775">
              <w:rPr>
                <w:rFonts w:eastAsia="Times New Roman"/>
                <w:color w:val="000000"/>
              </w:rPr>
              <w:t>.)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ACB3D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CE2775">
              <w:rPr>
                <w:rFonts w:eastAsia="Times New Roman"/>
                <w:color w:val="000000"/>
              </w:rPr>
              <w:t>06.06.2024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B3AEEA" w14:textId="77777777" w:rsidR="00ED35C6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3D7B3E">
              <w:rPr>
                <w:rFonts w:eastAsia="Times New Roman"/>
                <w:color w:val="000000"/>
              </w:rPr>
              <w:t>•</w:t>
            </w:r>
            <w:r>
              <w:rPr>
                <w:rFonts w:eastAsia="Times New Roman"/>
                <w:color w:val="000000"/>
              </w:rPr>
              <w:t xml:space="preserve"> neplnění informační povinnosti </w:t>
            </w:r>
          </w:p>
          <w:p w14:paraId="404A12FC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3D7B3E">
              <w:rPr>
                <w:rFonts w:eastAsia="Times New Roman"/>
                <w:color w:val="000000"/>
              </w:rPr>
              <w:t>• ne</w:t>
            </w:r>
            <w:r>
              <w:rPr>
                <w:rFonts w:eastAsia="Times New Roman"/>
                <w:color w:val="000000"/>
              </w:rPr>
              <w:t xml:space="preserve">kalé obchodní praktiky </w:t>
            </w:r>
          </w:p>
        </w:tc>
      </w:tr>
      <w:tr w:rsidR="00867AB2" w:rsidRPr="003D7B3E" w14:paraId="7C5AABE3" w14:textId="77777777" w:rsidTr="000D4C8F">
        <w:trPr>
          <w:trHeight w:val="567"/>
        </w:trPr>
        <w:tc>
          <w:tcPr>
            <w:tcW w:w="258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6293F" w14:textId="26B63217" w:rsidR="00867AB2" w:rsidRPr="003D7B3E" w:rsidRDefault="00867AB2" w:rsidP="00867AB2">
            <w:pPr>
              <w:jc w:val="center"/>
              <w:rPr>
                <w:rFonts w:eastAsia="Times New Roman"/>
                <w:b/>
                <w:color w:val="000000"/>
              </w:rPr>
            </w:pPr>
            <w:r w:rsidRPr="00CE2775">
              <w:rPr>
                <w:rFonts w:eastAsia="Times New Roman"/>
                <w:b/>
                <w:color w:val="000000"/>
              </w:rPr>
              <w:t>1 350 000 Kč</w:t>
            </w:r>
          </w:p>
        </w:tc>
        <w:tc>
          <w:tcPr>
            <w:tcW w:w="3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9248F" w14:textId="36AC5E12" w:rsidR="00867AB2" w:rsidRPr="00CE2775" w:rsidRDefault="00867AB2" w:rsidP="00867AB2">
            <w:pPr>
              <w:jc w:val="center"/>
              <w:rPr>
                <w:rFonts w:eastAsia="Times New Roman"/>
                <w:color w:val="000000"/>
              </w:rPr>
            </w:pPr>
            <w:r w:rsidRPr="00CE2775">
              <w:rPr>
                <w:rFonts w:eastAsia="Times New Roman"/>
                <w:color w:val="000000"/>
              </w:rPr>
              <w:t>Českomoravské energie s.r.o.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1C7783" w14:textId="0DA1977B" w:rsidR="00867AB2" w:rsidRPr="00CE2775" w:rsidRDefault="00867AB2" w:rsidP="00867AB2">
            <w:pPr>
              <w:jc w:val="center"/>
              <w:rPr>
                <w:rFonts w:eastAsia="Times New Roman"/>
                <w:color w:val="000000"/>
              </w:rPr>
            </w:pPr>
            <w:r w:rsidRPr="00CE2775">
              <w:rPr>
                <w:rFonts w:eastAsia="Times New Roman"/>
                <w:color w:val="000000"/>
              </w:rPr>
              <w:t>02.04.2024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21B647" w14:textId="0B3D1357" w:rsidR="00867AB2" w:rsidRPr="003D7B3E" w:rsidRDefault="00867AB2" w:rsidP="00867AB2">
            <w:pPr>
              <w:jc w:val="center"/>
              <w:rPr>
                <w:rFonts w:eastAsia="Times New Roman"/>
                <w:color w:val="000000"/>
              </w:rPr>
            </w:pPr>
            <w:r w:rsidRPr="003D7B3E">
              <w:rPr>
                <w:rFonts w:eastAsia="Times New Roman"/>
                <w:color w:val="000000"/>
              </w:rPr>
              <w:t>•</w:t>
            </w:r>
            <w:r>
              <w:rPr>
                <w:rFonts w:eastAsia="Times New Roman"/>
                <w:color w:val="000000"/>
              </w:rPr>
              <w:t xml:space="preserve"> </w:t>
            </w:r>
            <w:r w:rsidRPr="003D7B3E">
              <w:rPr>
                <w:rFonts w:eastAsia="Times New Roman"/>
                <w:color w:val="000000"/>
              </w:rPr>
              <w:t>ne</w:t>
            </w:r>
            <w:r>
              <w:rPr>
                <w:rFonts w:eastAsia="Times New Roman"/>
                <w:color w:val="000000"/>
              </w:rPr>
              <w:t>kalé obchodní praktiky</w:t>
            </w:r>
          </w:p>
        </w:tc>
      </w:tr>
      <w:tr w:rsidR="00ED35C6" w:rsidRPr="003D7B3E" w14:paraId="35E7CDAC" w14:textId="77777777" w:rsidTr="000D4C8F">
        <w:trPr>
          <w:trHeight w:val="567"/>
        </w:trPr>
        <w:tc>
          <w:tcPr>
            <w:tcW w:w="258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3DF6E" w14:textId="77777777" w:rsidR="00ED35C6" w:rsidRPr="003D7B3E" w:rsidRDefault="00ED35C6" w:rsidP="000D4C8F">
            <w:pPr>
              <w:jc w:val="center"/>
              <w:rPr>
                <w:rFonts w:eastAsia="Times New Roman"/>
                <w:b/>
                <w:color w:val="000000"/>
              </w:rPr>
            </w:pPr>
            <w:r w:rsidRPr="003D7B3E">
              <w:rPr>
                <w:rFonts w:eastAsia="Times New Roman"/>
                <w:b/>
                <w:color w:val="000000"/>
              </w:rPr>
              <w:t>1 200 000 Kč</w:t>
            </w:r>
          </w:p>
        </w:tc>
        <w:tc>
          <w:tcPr>
            <w:tcW w:w="3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F744C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CE2775">
              <w:rPr>
                <w:rFonts w:eastAsia="Times New Roman"/>
                <w:color w:val="000000"/>
              </w:rPr>
              <w:t xml:space="preserve">ELGAS </w:t>
            </w:r>
            <w:proofErr w:type="spellStart"/>
            <w:r w:rsidRPr="00CE2775">
              <w:rPr>
                <w:rFonts w:eastAsia="Times New Roman"/>
                <w:color w:val="000000"/>
              </w:rPr>
              <w:t>Energy</w:t>
            </w:r>
            <w:proofErr w:type="spellEnd"/>
            <w:r w:rsidRPr="00CE2775">
              <w:rPr>
                <w:rFonts w:eastAsia="Times New Roman"/>
                <w:color w:val="000000"/>
              </w:rPr>
              <w:t>, s.r.o.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D72D6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3D7B3E">
              <w:rPr>
                <w:rFonts w:eastAsia="Times New Roman"/>
                <w:color w:val="000000"/>
              </w:rPr>
              <w:t>04.04.2024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B2C85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3D7B3E">
              <w:rPr>
                <w:rFonts w:eastAsia="Times New Roman"/>
                <w:color w:val="000000"/>
              </w:rPr>
              <w:t xml:space="preserve">• pozdní vyúčtovávání </w:t>
            </w:r>
          </w:p>
        </w:tc>
      </w:tr>
      <w:tr w:rsidR="00ED35C6" w:rsidRPr="003D7B3E" w14:paraId="5EE51F27" w14:textId="77777777" w:rsidTr="000D4C8F">
        <w:trPr>
          <w:trHeight w:val="567"/>
        </w:trPr>
        <w:tc>
          <w:tcPr>
            <w:tcW w:w="258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A13C8" w14:textId="77777777" w:rsidR="00ED35C6" w:rsidRPr="003D7B3E" w:rsidRDefault="00ED35C6" w:rsidP="000D4C8F">
            <w:pPr>
              <w:jc w:val="center"/>
              <w:rPr>
                <w:rFonts w:eastAsia="Times New Roman"/>
                <w:b/>
                <w:color w:val="000000"/>
              </w:rPr>
            </w:pPr>
            <w:r w:rsidRPr="003D7B3E">
              <w:rPr>
                <w:rFonts w:eastAsia="Times New Roman"/>
                <w:b/>
                <w:color w:val="000000"/>
              </w:rPr>
              <w:t>1 000 000 Kč</w:t>
            </w:r>
          </w:p>
        </w:tc>
        <w:tc>
          <w:tcPr>
            <w:tcW w:w="35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5A066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CE2775">
              <w:rPr>
                <w:rFonts w:eastAsia="Times New Roman"/>
                <w:color w:val="000000"/>
              </w:rPr>
              <w:t>Lidová energie s.r.o.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71A22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3D7B3E">
              <w:rPr>
                <w:rFonts w:eastAsia="Times New Roman"/>
                <w:color w:val="000000"/>
              </w:rPr>
              <w:t>21.02.2024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426338" w14:textId="77777777" w:rsidR="00ED35C6" w:rsidRPr="003D7B3E" w:rsidRDefault="00ED35C6" w:rsidP="000D4C8F">
            <w:pPr>
              <w:jc w:val="center"/>
              <w:rPr>
                <w:rFonts w:eastAsia="Times New Roman"/>
                <w:color w:val="000000"/>
              </w:rPr>
            </w:pPr>
            <w:r w:rsidRPr="003D7B3E">
              <w:rPr>
                <w:rFonts w:eastAsia="Times New Roman"/>
                <w:color w:val="000000"/>
              </w:rPr>
              <w:t xml:space="preserve">• pozdní vyúčtovávání </w:t>
            </w:r>
          </w:p>
        </w:tc>
      </w:tr>
    </w:tbl>
    <w:p w14:paraId="16E903C5" w14:textId="7F796AC1" w:rsidR="00ED35C6" w:rsidRPr="00CE2775" w:rsidRDefault="00ED35C6" w:rsidP="00ED35C6">
      <w:pPr>
        <w:spacing w:before="240" w:after="360"/>
        <w:jc w:val="both"/>
        <w:rPr>
          <w:i/>
        </w:rPr>
      </w:pPr>
      <w:r w:rsidRPr="00CE2775">
        <w:rPr>
          <w:i/>
        </w:rPr>
        <w:t>Pozn.: V případě společností Marketing 23 a Českomoravské energie se jedná o zprostředkovatele, zbylé jsou dodavatelé</w:t>
      </w:r>
      <w:r w:rsidR="003B39A7">
        <w:rPr>
          <w:i/>
        </w:rPr>
        <w:t xml:space="preserve"> energi</w:t>
      </w:r>
      <w:r w:rsidR="001C1F61">
        <w:rPr>
          <w:i/>
        </w:rPr>
        <w:t>e</w:t>
      </w:r>
      <w:r w:rsidR="0020748A">
        <w:rPr>
          <w:i/>
        </w:rPr>
        <w:t>.</w:t>
      </w:r>
    </w:p>
    <w:p w14:paraId="01AF8367" w14:textId="77777777" w:rsidR="00ED35C6" w:rsidRPr="00502CF9" w:rsidRDefault="00ED35C6" w:rsidP="00494F8B">
      <w:pPr>
        <w:widowControl w:val="0"/>
        <w:jc w:val="both"/>
        <w:rPr>
          <w:rFonts w:cstheme="minorHAnsi"/>
        </w:rPr>
      </w:pPr>
    </w:p>
    <w:p w14:paraId="49B787E8" w14:textId="77777777" w:rsidR="00B84FE2" w:rsidRPr="005D6010" w:rsidRDefault="00B84FE2" w:rsidP="00AE1652">
      <w:pPr>
        <w:pStyle w:val="Bezmezer"/>
        <w:spacing w:before="60" w:after="120"/>
      </w:pPr>
    </w:p>
    <w:sectPr w:rsidR="00B84FE2" w:rsidRPr="005D6010" w:rsidSect="00B84FE2">
      <w:headerReference w:type="default" r:id="rId15"/>
      <w:footerReference w:type="default" r:id="rId16"/>
      <w:type w:val="continuous"/>
      <w:pgSz w:w="11906" w:h="16838" w:code="9"/>
      <w:pgMar w:top="851" w:right="851" w:bottom="567" w:left="851" w:header="0" w:footer="11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E7119B" w14:textId="77777777" w:rsidR="00B01AAB" w:rsidRDefault="00B01AAB" w:rsidP="006928DE">
      <w:pPr>
        <w:spacing w:after="0" w:line="240" w:lineRule="auto"/>
      </w:pPr>
      <w:r>
        <w:separator/>
      </w:r>
    </w:p>
    <w:p w14:paraId="7C9B42CB" w14:textId="77777777" w:rsidR="00B01AAB" w:rsidRDefault="00B01AAB"/>
  </w:endnote>
  <w:endnote w:type="continuationSeparator" w:id="0">
    <w:p w14:paraId="1E3ADB4F" w14:textId="77777777" w:rsidR="00B01AAB" w:rsidRDefault="00B01AAB" w:rsidP="006928DE">
      <w:pPr>
        <w:spacing w:after="0" w:line="240" w:lineRule="auto"/>
      </w:pPr>
      <w:r>
        <w:continuationSeparator/>
      </w:r>
    </w:p>
    <w:p w14:paraId="52FC15E1" w14:textId="77777777" w:rsidR="00B01AAB" w:rsidRDefault="00B01AA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iro">
    <w:altName w:val="Calibri"/>
    <w:charset w:val="EE"/>
    <w:family w:val="auto"/>
    <w:pitch w:val="variable"/>
    <w:sig w:usb0="A00020AF" w:usb1="9000204B" w:usb2="00000008" w:usb3="00000000" w:csb0="000000D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Mkatabulky"/>
      <w:tblW w:w="102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1445"/>
      <w:gridCol w:w="4026"/>
      <w:gridCol w:w="1438"/>
      <w:gridCol w:w="1726"/>
      <w:gridCol w:w="1579"/>
    </w:tblGrid>
    <w:tr w:rsidR="00B84FE2" w:rsidRPr="003F04A5" w14:paraId="583CE8E5" w14:textId="77777777" w:rsidTr="000251E3">
      <w:trPr>
        <w:cantSplit/>
        <w:trHeight w:hRule="exact" w:val="238"/>
      </w:trPr>
      <w:tc>
        <w:tcPr>
          <w:tcW w:w="707" w:type="pct"/>
          <w:vMerge w:val="restart"/>
        </w:tcPr>
        <w:p w14:paraId="0AC0E2D1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b/>
              <w:noProof/>
              <w:color w:val="23315F"/>
              <w:sz w:val="17"/>
              <w:szCs w:val="17"/>
            </w:rPr>
            <w:drawing>
              <wp:anchor distT="0" distB="0" distL="114300" distR="114300" simplePos="0" relativeHeight="251703808" behindDoc="1" locked="1" layoutInCell="1" allowOverlap="0" wp14:anchorId="45C2F6D2" wp14:editId="6383AF4D">
                <wp:simplePos x="0" y="0"/>
                <wp:positionH relativeFrom="margin">
                  <wp:posOffset>-24765</wp:posOffset>
                </wp:positionH>
                <wp:positionV relativeFrom="margin">
                  <wp:posOffset>0</wp:posOffset>
                </wp:positionV>
                <wp:extent cx="902970" cy="902970"/>
                <wp:effectExtent l="0" t="0" r="0" b="0"/>
                <wp:wrapSquare wrapText="bothSides"/>
                <wp:docPr id="92" name="Obrázek 9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2970" cy="90297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971" w:type="pct"/>
          <w:vAlign w:val="center"/>
        </w:tcPr>
        <w:p w14:paraId="24CA1FA1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23315F"/>
              <w:sz w:val="17"/>
              <w:szCs w:val="17"/>
            </w:rPr>
            <w:t>Energetický regulační úřad</w:t>
          </w:r>
        </w:p>
      </w:tc>
      <w:tc>
        <w:tcPr>
          <w:tcW w:w="704" w:type="pct"/>
          <w:vAlign w:val="center"/>
        </w:tcPr>
        <w:p w14:paraId="792C23B3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auto"/>
              <w:sz w:val="17"/>
              <w:szCs w:val="17"/>
            </w:rPr>
            <w:t>Tiskoví mluvčí:</w:t>
          </w:r>
        </w:p>
      </w:tc>
      <w:tc>
        <w:tcPr>
          <w:tcW w:w="845" w:type="pct"/>
          <w:vAlign w:val="center"/>
        </w:tcPr>
        <w:p w14:paraId="2D627D6B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23315F"/>
              <w:sz w:val="17"/>
              <w:szCs w:val="17"/>
            </w:rPr>
            <w:t>Michal Kebort</w:t>
          </w:r>
        </w:p>
      </w:tc>
      <w:tc>
        <w:tcPr>
          <w:tcW w:w="773" w:type="pct"/>
          <w:vAlign w:val="center"/>
        </w:tcPr>
        <w:p w14:paraId="36724139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23315F"/>
              <w:sz w:val="17"/>
              <w:szCs w:val="17"/>
            </w:rPr>
            <w:t>Jan Hamrník</w:t>
          </w:r>
        </w:p>
      </w:tc>
    </w:tr>
    <w:tr w:rsidR="00B84FE2" w:rsidRPr="003F04A5" w14:paraId="0B1AFC1B" w14:textId="77777777" w:rsidTr="000251E3">
      <w:trPr>
        <w:cantSplit/>
        <w:trHeight w:hRule="exact" w:val="238"/>
      </w:trPr>
      <w:tc>
        <w:tcPr>
          <w:tcW w:w="707" w:type="pct"/>
          <w:vMerge/>
        </w:tcPr>
        <w:p w14:paraId="33BF7415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b/>
              <w:noProof/>
              <w:color w:val="23315F"/>
              <w:sz w:val="17"/>
              <w:szCs w:val="17"/>
            </w:rPr>
          </w:pPr>
        </w:p>
      </w:tc>
      <w:tc>
        <w:tcPr>
          <w:tcW w:w="1971" w:type="pct"/>
          <w:vAlign w:val="center"/>
        </w:tcPr>
        <w:p w14:paraId="52D509C4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auto"/>
              <w:sz w:val="17"/>
              <w:szCs w:val="17"/>
            </w:rPr>
            <w:t>Masarykovo náměstí 91/5, 586 01 Jihlava</w:t>
          </w:r>
        </w:p>
      </w:tc>
      <w:tc>
        <w:tcPr>
          <w:tcW w:w="704" w:type="pct"/>
          <w:vMerge w:val="restart"/>
          <w:vAlign w:val="center"/>
        </w:tcPr>
        <w:p w14:paraId="51E490A0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auto"/>
              <w:sz w:val="17"/>
              <w:szCs w:val="17"/>
            </w:rPr>
          </w:pPr>
        </w:p>
      </w:tc>
      <w:tc>
        <w:tcPr>
          <w:tcW w:w="845" w:type="pct"/>
          <w:vAlign w:val="center"/>
        </w:tcPr>
        <w:p w14:paraId="488D1D98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auto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auto"/>
              <w:sz w:val="17"/>
              <w:szCs w:val="17"/>
            </w:rPr>
            <w:t>+420 724 060 790</w:t>
          </w:r>
        </w:p>
      </w:tc>
      <w:tc>
        <w:tcPr>
          <w:tcW w:w="773" w:type="pct"/>
          <w:vAlign w:val="center"/>
        </w:tcPr>
        <w:p w14:paraId="68B53765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auto"/>
              <w:sz w:val="17"/>
              <w:szCs w:val="17"/>
            </w:rPr>
            <w:t>+420 724 454 791</w:t>
          </w:r>
        </w:p>
      </w:tc>
    </w:tr>
    <w:tr w:rsidR="00B84FE2" w:rsidRPr="003F04A5" w14:paraId="79E8EF33" w14:textId="77777777" w:rsidTr="000251E3">
      <w:trPr>
        <w:cantSplit/>
        <w:trHeight w:hRule="exact" w:val="238"/>
      </w:trPr>
      <w:tc>
        <w:tcPr>
          <w:tcW w:w="707" w:type="pct"/>
          <w:vMerge/>
        </w:tcPr>
        <w:p w14:paraId="25464631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b/>
              <w:noProof/>
              <w:color w:val="23315F"/>
              <w:sz w:val="17"/>
              <w:szCs w:val="17"/>
            </w:rPr>
          </w:pPr>
        </w:p>
      </w:tc>
      <w:tc>
        <w:tcPr>
          <w:tcW w:w="1971" w:type="pct"/>
          <w:vAlign w:val="center"/>
        </w:tcPr>
        <w:p w14:paraId="13FF89FD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auto"/>
              <w:sz w:val="17"/>
              <w:szCs w:val="17"/>
            </w:rPr>
            <w:t>+420 564 578 666</w:t>
          </w:r>
        </w:p>
      </w:tc>
      <w:tc>
        <w:tcPr>
          <w:tcW w:w="704" w:type="pct"/>
          <w:vMerge/>
          <w:vAlign w:val="center"/>
        </w:tcPr>
        <w:p w14:paraId="4D5D6DA0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auto"/>
              <w:sz w:val="17"/>
              <w:szCs w:val="17"/>
            </w:rPr>
          </w:pPr>
        </w:p>
      </w:tc>
      <w:tc>
        <w:tcPr>
          <w:tcW w:w="1618" w:type="pct"/>
          <w:gridSpan w:val="2"/>
          <w:vAlign w:val="center"/>
        </w:tcPr>
        <w:p w14:paraId="14436E3E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</w:p>
      </w:tc>
    </w:tr>
    <w:tr w:rsidR="00B84FE2" w:rsidRPr="003F04A5" w14:paraId="00842971" w14:textId="77777777" w:rsidTr="000251E3">
      <w:trPr>
        <w:cantSplit/>
        <w:trHeight w:hRule="exact" w:val="238"/>
      </w:trPr>
      <w:tc>
        <w:tcPr>
          <w:tcW w:w="707" w:type="pct"/>
          <w:vMerge/>
        </w:tcPr>
        <w:p w14:paraId="782D7DF2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b/>
              <w:noProof/>
              <w:color w:val="23315F"/>
              <w:sz w:val="17"/>
              <w:szCs w:val="17"/>
            </w:rPr>
          </w:pPr>
        </w:p>
      </w:tc>
      <w:tc>
        <w:tcPr>
          <w:tcW w:w="1971" w:type="pct"/>
          <w:vAlign w:val="center"/>
        </w:tcPr>
        <w:p w14:paraId="0445A806" w14:textId="77777777" w:rsidR="00B84FE2" w:rsidRPr="003F04A5" w:rsidRDefault="00B01AAB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hyperlink r:id="rId2" w:history="1">
            <w:r w:rsidR="00B84FE2" w:rsidRPr="003F04A5">
              <w:rPr>
                <w:rStyle w:val="Hypertextovodkaz"/>
                <w:rFonts w:ascii="Cairo" w:hAnsi="Cairo" w:cs="Cairo"/>
                <w:b/>
                <w:color w:val="auto"/>
                <w:sz w:val="17"/>
                <w:szCs w:val="17"/>
                <w:u w:val="none"/>
              </w:rPr>
              <w:t>podatelna@eru.gov.cz</w:t>
            </w:r>
          </w:hyperlink>
        </w:p>
      </w:tc>
      <w:tc>
        <w:tcPr>
          <w:tcW w:w="704" w:type="pct"/>
          <w:vMerge/>
          <w:vAlign w:val="center"/>
        </w:tcPr>
        <w:p w14:paraId="7F4BB270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auto"/>
              <w:sz w:val="17"/>
              <w:szCs w:val="17"/>
            </w:rPr>
          </w:pPr>
        </w:p>
      </w:tc>
      <w:tc>
        <w:tcPr>
          <w:tcW w:w="1618" w:type="pct"/>
          <w:gridSpan w:val="2"/>
          <w:vAlign w:val="center"/>
        </w:tcPr>
        <w:p w14:paraId="16095EBD" w14:textId="77777777" w:rsidR="00B84FE2" w:rsidRPr="003F04A5" w:rsidRDefault="00B01AAB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auto"/>
              <w:sz w:val="17"/>
              <w:szCs w:val="17"/>
            </w:rPr>
          </w:pPr>
          <w:hyperlink r:id="rId3" w:history="1">
            <w:r w:rsidR="00B84FE2" w:rsidRPr="003F04A5">
              <w:rPr>
                <w:rStyle w:val="Hypertextovodkaz"/>
                <w:rFonts w:ascii="Cairo" w:hAnsi="Cairo" w:cs="Cairo"/>
                <w:b/>
                <w:color w:val="auto"/>
                <w:sz w:val="17"/>
                <w:szCs w:val="17"/>
                <w:u w:val="none"/>
              </w:rPr>
              <w:t>tiskove@eru.gov.cz</w:t>
            </w:r>
          </w:hyperlink>
        </w:p>
      </w:tc>
    </w:tr>
    <w:tr w:rsidR="00B84FE2" w:rsidRPr="003F04A5" w14:paraId="04A345EC" w14:textId="77777777" w:rsidTr="000251E3">
      <w:trPr>
        <w:cantSplit/>
        <w:trHeight w:hRule="exact" w:val="238"/>
      </w:trPr>
      <w:tc>
        <w:tcPr>
          <w:tcW w:w="707" w:type="pct"/>
          <w:vMerge/>
        </w:tcPr>
        <w:p w14:paraId="6936910A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b/>
              <w:noProof/>
              <w:color w:val="23315F"/>
              <w:sz w:val="17"/>
              <w:szCs w:val="17"/>
            </w:rPr>
          </w:pPr>
        </w:p>
      </w:tc>
      <w:tc>
        <w:tcPr>
          <w:tcW w:w="1971" w:type="pct"/>
          <w:vAlign w:val="center"/>
        </w:tcPr>
        <w:p w14:paraId="6D67274A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auto"/>
              <w:sz w:val="17"/>
              <w:szCs w:val="17"/>
            </w:rPr>
            <w:t>ID datové schránky ERÚ eeuaau7</w:t>
          </w:r>
        </w:p>
      </w:tc>
      <w:tc>
        <w:tcPr>
          <w:tcW w:w="704" w:type="pct"/>
          <w:vMerge/>
          <w:vAlign w:val="center"/>
        </w:tcPr>
        <w:p w14:paraId="295B3473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auto"/>
              <w:sz w:val="17"/>
              <w:szCs w:val="17"/>
            </w:rPr>
          </w:pPr>
        </w:p>
      </w:tc>
      <w:tc>
        <w:tcPr>
          <w:tcW w:w="1618" w:type="pct"/>
          <w:gridSpan w:val="2"/>
          <w:vAlign w:val="center"/>
        </w:tcPr>
        <w:p w14:paraId="2AF7EF47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auto"/>
              <w:sz w:val="17"/>
              <w:szCs w:val="17"/>
            </w:rPr>
            <w:t>dislokované pracoviště ERÚ v</w:t>
          </w:r>
          <w:r>
            <w:rPr>
              <w:rFonts w:ascii="Cairo" w:hAnsi="Cairo" w:cs="Cairo"/>
              <w:b/>
              <w:color w:val="auto"/>
              <w:sz w:val="17"/>
              <w:szCs w:val="17"/>
            </w:rPr>
            <w:t> </w:t>
          </w:r>
          <w:r w:rsidRPr="003F04A5">
            <w:rPr>
              <w:rFonts w:ascii="Cairo" w:hAnsi="Cairo" w:cs="Cairo"/>
              <w:b/>
              <w:color w:val="auto"/>
              <w:sz w:val="17"/>
              <w:szCs w:val="17"/>
            </w:rPr>
            <w:t>Praze</w:t>
          </w:r>
        </w:p>
      </w:tc>
    </w:tr>
    <w:tr w:rsidR="00B84FE2" w:rsidRPr="003F04A5" w14:paraId="16C1335D" w14:textId="77777777" w:rsidTr="000251E3">
      <w:trPr>
        <w:cantSplit/>
        <w:trHeight w:hRule="exact" w:val="238"/>
      </w:trPr>
      <w:tc>
        <w:tcPr>
          <w:tcW w:w="707" w:type="pct"/>
          <w:vMerge/>
        </w:tcPr>
        <w:p w14:paraId="06BE1B05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b/>
              <w:noProof/>
              <w:color w:val="23315F"/>
              <w:sz w:val="17"/>
              <w:szCs w:val="17"/>
            </w:rPr>
          </w:pPr>
        </w:p>
      </w:tc>
      <w:tc>
        <w:tcPr>
          <w:tcW w:w="1971" w:type="pct"/>
          <w:vAlign w:val="center"/>
        </w:tcPr>
        <w:p w14:paraId="461F4FB4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23315F"/>
              <w:sz w:val="17"/>
              <w:szCs w:val="17"/>
            </w:rPr>
            <w:t>eru.gov.cz</w:t>
          </w:r>
        </w:p>
      </w:tc>
      <w:tc>
        <w:tcPr>
          <w:tcW w:w="704" w:type="pct"/>
          <w:vMerge/>
          <w:vAlign w:val="center"/>
        </w:tcPr>
        <w:p w14:paraId="3A4191C5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92" w:lineRule="auto"/>
            <w:rPr>
              <w:rFonts w:ascii="Cairo" w:hAnsi="Cairo" w:cs="Cairo"/>
              <w:b/>
              <w:color w:val="auto"/>
              <w:sz w:val="17"/>
              <w:szCs w:val="17"/>
            </w:rPr>
          </w:pPr>
        </w:p>
      </w:tc>
      <w:tc>
        <w:tcPr>
          <w:tcW w:w="1618" w:type="pct"/>
          <w:gridSpan w:val="2"/>
          <w:vAlign w:val="center"/>
        </w:tcPr>
        <w:p w14:paraId="00820332" w14:textId="77777777" w:rsidR="00B84FE2" w:rsidRPr="003F04A5" w:rsidRDefault="00B84FE2" w:rsidP="00B84FE2">
          <w:pPr>
            <w:pStyle w:val="Zpat"/>
            <w:tabs>
              <w:tab w:val="clear" w:pos="567"/>
              <w:tab w:val="clear" w:pos="4536"/>
              <w:tab w:val="clear" w:pos="9072"/>
              <w:tab w:val="clear" w:pos="10206"/>
              <w:tab w:val="left" w:pos="1560"/>
              <w:tab w:val="left" w:pos="5670"/>
              <w:tab w:val="left" w:pos="7088"/>
              <w:tab w:val="left" w:pos="8789"/>
            </w:tabs>
            <w:spacing w:before="0" w:line="156" w:lineRule="auto"/>
            <w:rPr>
              <w:rFonts w:ascii="Cairo" w:hAnsi="Cairo" w:cs="Cairo"/>
              <w:b/>
              <w:color w:val="23315F"/>
              <w:sz w:val="17"/>
              <w:szCs w:val="17"/>
            </w:rPr>
          </w:pPr>
          <w:r w:rsidRPr="003F04A5">
            <w:rPr>
              <w:rFonts w:ascii="Cairo" w:hAnsi="Cairo" w:cs="Cairo"/>
              <w:b/>
              <w:color w:val="auto"/>
              <w:sz w:val="17"/>
              <w:szCs w:val="17"/>
            </w:rPr>
            <w:t>Jankovcova 1566/2B, 170 00 Praha 7</w:t>
          </w:r>
        </w:p>
      </w:tc>
    </w:tr>
  </w:tbl>
  <w:p w14:paraId="0CDC31FC" w14:textId="77777777" w:rsidR="00B84FE2" w:rsidRPr="003F04A5" w:rsidRDefault="00B84FE2" w:rsidP="003F04A5">
    <w:pPr>
      <w:pStyle w:val="Zpat"/>
      <w:tabs>
        <w:tab w:val="clear" w:pos="567"/>
        <w:tab w:val="clear" w:pos="4536"/>
        <w:tab w:val="clear" w:pos="9072"/>
        <w:tab w:val="clear" w:pos="10206"/>
        <w:tab w:val="left" w:pos="1560"/>
        <w:tab w:val="left" w:pos="5670"/>
        <w:tab w:val="left" w:pos="7088"/>
        <w:tab w:val="left" w:pos="8789"/>
      </w:tabs>
      <w:spacing w:before="0" w:line="192" w:lineRule="auto"/>
      <w:rPr>
        <w:rFonts w:ascii="Cairo" w:hAnsi="Cairo" w:cs="Cairo"/>
        <w:b/>
        <w:color w:val="23315F"/>
        <w:sz w:val="17"/>
        <w:szCs w:val="17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EDF277" w14:textId="77777777" w:rsidR="00B84FE2" w:rsidRDefault="00B84FE2" w:rsidP="00B84FE2">
    <w:pPr>
      <w:pStyle w:val="Zpat"/>
    </w:pPr>
  </w:p>
  <w:p w14:paraId="027B8C7C" w14:textId="77777777" w:rsidR="00B84FE2" w:rsidRPr="00B84FE2" w:rsidRDefault="00B84FE2" w:rsidP="00B84FE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DDB66B" w14:textId="77777777" w:rsidR="00B01AAB" w:rsidRDefault="00B01AAB" w:rsidP="006928DE">
      <w:pPr>
        <w:spacing w:after="0" w:line="240" w:lineRule="auto"/>
      </w:pPr>
      <w:r>
        <w:separator/>
      </w:r>
    </w:p>
    <w:p w14:paraId="4FABF578" w14:textId="77777777" w:rsidR="00B01AAB" w:rsidRDefault="00B01AAB"/>
  </w:footnote>
  <w:footnote w:type="continuationSeparator" w:id="0">
    <w:p w14:paraId="58EF6E2C" w14:textId="77777777" w:rsidR="00B01AAB" w:rsidRDefault="00B01AAB" w:rsidP="006928DE">
      <w:pPr>
        <w:spacing w:after="0" w:line="240" w:lineRule="auto"/>
      </w:pPr>
      <w:r>
        <w:continuationSeparator/>
      </w:r>
    </w:p>
    <w:p w14:paraId="746270BD" w14:textId="77777777" w:rsidR="00B01AAB" w:rsidRDefault="00B01AA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BF2D69" w14:textId="77777777" w:rsidR="00B84FE2" w:rsidRDefault="00B84FE2" w:rsidP="00BF757E">
    <w:pPr>
      <w:pStyle w:val="Zhlav"/>
      <w:tabs>
        <w:tab w:val="clear" w:pos="567"/>
        <w:tab w:val="clear" w:pos="4536"/>
        <w:tab w:val="clear" w:pos="9072"/>
        <w:tab w:val="clear" w:pos="10206"/>
      </w:tabs>
    </w:pPr>
    <w:r>
      <w:rPr>
        <w:noProof/>
      </w:rPr>
      <w:drawing>
        <wp:anchor distT="0" distB="0" distL="114300" distR="114300" simplePos="0" relativeHeight="251701760" behindDoc="0" locked="0" layoutInCell="1" allowOverlap="1" wp14:anchorId="49EEBDE4" wp14:editId="66F7A6B2">
          <wp:simplePos x="0" y="0"/>
          <wp:positionH relativeFrom="page">
            <wp:posOffset>540385</wp:posOffset>
          </wp:positionH>
          <wp:positionV relativeFrom="page">
            <wp:posOffset>360045</wp:posOffset>
          </wp:positionV>
          <wp:extent cx="1800000" cy="597600"/>
          <wp:effectExtent l="0" t="0" r="0" b="0"/>
          <wp:wrapNone/>
          <wp:docPr id="91" name="Obrázek 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ERU_logo_celé_bez ochranne zony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0" cy="59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F0095E" w14:textId="77777777" w:rsidR="002C42C1" w:rsidRDefault="002C42C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.5pt;height:6.5pt" o:bullet="t">
        <v:imagedata r:id="rId1" o:title="Datový zdroj 256"/>
      </v:shape>
    </w:pict>
  </w:numPicBullet>
  <w:abstractNum w:abstractNumId="0" w15:restartNumberingAfterBreak="0">
    <w:nsid w:val="0DE53D86"/>
    <w:multiLevelType w:val="hybridMultilevel"/>
    <w:tmpl w:val="3C201F88"/>
    <w:lvl w:ilvl="0" w:tplc="1DAE11F8">
      <w:start w:val="1"/>
      <w:numFmt w:val="bullet"/>
      <w:pStyle w:val="Odrkypky"/>
      <w:lvlText w:val=""/>
      <w:lvlPicBulletId w:val="0"/>
      <w:lvlJc w:val="left"/>
      <w:pPr>
        <w:ind w:left="3193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751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823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953" w:hanging="360"/>
      </w:pPr>
      <w:rPr>
        <w:rFonts w:ascii="Wingdings" w:hAnsi="Wingdings" w:hint="default"/>
      </w:rPr>
    </w:lvl>
  </w:abstractNum>
  <w:abstractNum w:abstractNumId="1" w15:restartNumberingAfterBreak="0">
    <w:nsid w:val="23DA0F17"/>
    <w:multiLevelType w:val="multilevel"/>
    <w:tmpl w:val="381AC3E8"/>
    <w:lvl w:ilvl="0">
      <w:start w:val="1"/>
      <w:numFmt w:val="decimal"/>
      <w:lvlText w:val="%1"/>
      <w:lvlJc w:val="left"/>
      <w:pPr>
        <w:tabs>
          <w:tab w:val="num" w:pos="709"/>
        </w:tabs>
        <w:ind w:left="0" w:firstLine="0"/>
      </w:pPr>
      <w:rPr>
        <w:rFonts w:ascii="Arial" w:hAnsi="Arial" w:hint="default"/>
        <w:b/>
        <w:i w:val="0"/>
        <w:color w:val="23315F" w:themeColor="text2"/>
        <w:sz w:val="32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0" w:firstLine="0"/>
      </w:pPr>
      <w:rPr>
        <w:rFonts w:ascii="Arial" w:hAnsi="Arial" w:hint="default"/>
        <w:b/>
        <w:i w:val="0"/>
        <w:color w:val="23315F" w:themeColor="text2"/>
        <w:sz w:val="28"/>
      </w:rPr>
    </w:lvl>
    <w:lvl w:ilvl="2">
      <w:start w:val="1"/>
      <w:numFmt w:val="decimal"/>
      <w:lvlText w:val="%1.%2.%3"/>
      <w:lvlJc w:val="left"/>
      <w:pPr>
        <w:tabs>
          <w:tab w:val="num" w:pos="709"/>
        </w:tabs>
        <w:ind w:left="0" w:firstLine="0"/>
      </w:pPr>
      <w:rPr>
        <w:rFonts w:ascii="Arial" w:hAnsi="Arial" w:hint="default"/>
        <w:b/>
        <w:i w:val="0"/>
        <w:color w:val="23315F" w:themeColor="accent1"/>
        <w:sz w:val="24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default"/>
      </w:rPr>
    </w:lvl>
  </w:abstractNum>
  <w:abstractNum w:abstractNumId="2" w15:restartNumberingAfterBreak="0">
    <w:nsid w:val="4996453E"/>
    <w:multiLevelType w:val="multilevel"/>
    <w:tmpl w:val="3C201F88"/>
    <w:lvl w:ilvl="0">
      <w:start w:val="1"/>
      <w:numFmt w:val="bullet"/>
      <w:lvlText w:val=""/>
      <w:lvlPicBulletId w:val="0"/>
      <w:lvlJc w:val="left"/>
      <w:pPr>
        <w:ind w:left="3193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751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823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8953" w:hanging="360"/>
      </w:pPr>
      <w:rPr>
        <w:rFonts w:ascii="Wingdings" w:hAnsi="Wingdings" w:hint="default"/>
      </w:rPr>
    </w:lvl>
  </w:abstractNum>
  <w:abstractNum w:abstractNumId="3" w15:restartNumberingAfterBreak="0">
    <w:nsid w:val="4B327924"/>
    <w:multiLevelType w:val="hybridMultilevel"/>
    <w:tmpl w:val="6C9AADA4"/>
    <w:lvl w:ilvl="0" w:tplc="4C2CB78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DF1E8C"/>
    <w:multiLevelType w:val="hybridMultilevel"/>
    <w:tmpl w:val="7A10303E"/>
    <w:lvl w:ilvl="0" w:tplc="3B1AD16A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  <w:b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24926D6"/>
    <w:multiLevelType w:val="multilevel"/>
    <w:tmpl w:val="DD3E42E0"/>
    <w:lvl w:ilvl="0">
      <w:start w:val="1"/>
      <w:numFmt w:val="lowerLetter"/>
      <w:pStyle w:val="Odrkypsmeno"/>
      <w:lvlText w:val="%1)"/>
      <w:lvlJc w:val="left"/>
      <w:pPr>
        <w:ind w:left="425" w:hanging="425"/>
      </w:pPr>
      <w:rPr>
        <w:rFonts w:ascii="Arial" w:hAnsi="Arial" w:hint="default"/>
        <w:b/>
        <w:i w:val="0"/>
        <w:color w:val="233060"/>
        <w:sz w:val="22"/>
        <w:u w:val="none"/>
      </w:rPr>
    </w:lvl>
    <w:lvl w:ilvl="1">
      <w:start w:val="1"/>
      <w:numFmt w:val="lowerLetter"/>
      <w:lvlText w:val="%2)"/>
      <w:lvlJc w:val="left"/>
      <w:pPr>
        <w:ind w:left="850" w:hanging="425"/>
      </w:pPr>
      <w:rPr>
        <w:rFonts w:asciiTheme="minorHAnsi" w:hAnsiTheme="minorHAnsi" w:hint="default"/>
        <w:b w:val="0"/>
        <w:i w:val="0"/>
        <w:color w:val="233060"/>
        <w:sz w:val="22"/>
      </w:rPr>
    </w:lvl>
    <w:lvl w:ilvl="2">
      <w:start w:val="1"/>
      <w:numFmt w:val="lowerLetter"/>
      <w:lvlText w:val="%3)"/>
      <w:lvlJc w:val="right"/>
      <w:pPr>
        <w:ind w:left="1275" w:hanging="425"/>
      </w:pPr>
      <w:rPr>
        <w:rFonts w:asciiTheme="minorHAnsi" w:hAnsiTheme="minorHAnsi" w:hint="default"/>
        <w:b w:val="0"/>
        <w:i w:val="0"/>
        <w:color w:val="233060"/>
        <w:sz w:val="22"/>
      </w:rPr>
    </w:lvl>
    <w:lvl w:ilvl="3">
      <w:start w:val="1"/>
      <w:numFmt w:val="lowerLetter"/>
      <w:lvlText w:val="%4)"/>
      <w:lvlJc w:val="left"/>
      <w:pPr>
        <w:ind w:left="1700" w:hanging="425"/>
      </w:pPr>
      <w:rPr>
        <w:rFonts w:asciiTheme="minorHAnsi" w:hAnsiTheme="minorHAnsi" w:hint="default"/>
        <w:b w:val="0"/>
        <w:i w:val="0"/>
        <w:color w:val="233060"/>
        <w:sz w:val="22"/>
      </w:rPr>
    </w:lvl>
    <w:lvl w:ilvl="4">
      <w:start w:val="1"/>
      <w:numFmt w:val="lowerLetter"/>
      <w:lvlText w:val="%5."/>
      <w:lvlJc w:val="left"/>
      <w:pPr>
        <w:ind w:left="2125" w:hanging="425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550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975" w:hanging="425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400" w:hanging="425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825" w:hanging="425"/>
      </w:pPr>
      <w:rPr>
        <w:rFonts w:hint="default"/>
      </w:rPr>
    </w:lvl>
  </w:abstractNum>
  <w:abstractNum w:abstractNumId="6" w15:restartNumberingAfterBreak="0">
    <w:nsid w:val="7C895B12"/>
    <w:multiLevelType w:val="hybridMultilevel"/>
    <w:tmpl w:val="ED3CBC50"/>
    <w:lvl w:ilvl="0" w:tplc="BAFCD654">
      <w:start w:val="1"/>
      <w:numFmt w:val="decimal"/>
      <w:pStyle w:val="Odrkyslo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233060"/>
        <w:sz w:val="22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0"/>
  </w:num>
  <w:num w:numId="8">
    <w:abstractNumId w:val="3"/>
  </w:num>
  <w:num w:numId="9">
    <w:abstractNumId w:val="6"/>
  </w:num>
  <w:num w:numId="10">
    <w:abstractNumId w:val="5"/>
  </w:num>
  <w:num w:numId="11">
    <w:abstractNumId w:val="2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57E"/>
    <w:rsid w:val="00004664"/>
    <w:rsid w:val="0001107C"/>
    <w:rsid w:val="00012AD9"/>
    <w:rsid w:val="0001541E"/>
    <w:rsid w:val="000218CC"/>
    <w:rsid w:val="0002339C"/>
    <w:rsid w:val="000331BF"/>
    <w:rsid w:val="00045824"/>
    <w:rsid w:val="00047AC2"/>
    <w:rsid w:val="000508BF"/>
    <w:rsid w:val="00051C7F"/>
    <w:rsid w:val="000571CB"/>
    <w:rsid w:val="000650B6"/>
    <w:rsid w:val="00071182"/>
    <w:rsid w:val="00072105"/>
    <w:rsid w:val="00075E41"/>
    <w:rsid w:val="0008406D"/>
    <w:rsid w:val="00085D46"/>
    <w:rsid w:val="00087A8B"/>
    <w:rsid w:val="000A084F"/>
    <w:rsid w:val="000A5C2C"/>
    <w:rsid w:val="000B1CDC"/>
    <w:rsid w:val="000B2246"/>
    <w:rsid w:val="000B4B84"/>
    <w:rsid w:val="000C173C"/>
    <w:rsid w:val="000C616C"/>
    <w:rsid w:val="000D6B86"/>
    <w:rsid w:val="000F5202"/>
    <w:rsid w:val="000F75D7"/>
    <w:rsid w:val="000F7C3A"/>
    <w:rsid w:val="001031B7"/>
    <w:rsid w:val="00104721"/>
    <w:rsid w:val="00107692"/>
    <w:rsid w:val="00107DD1"/>
    <w:rsid w:val="00111118"/>
    <w:rsid w:val="00114B4B"/>
    <w:rsid w:val="001211F8"/>
    <w:rsid w:val="00122FE1"/>
    <w:rsid w:val="00123F0C"/>
    <w:rsid w:val="001306A6"/>
    <w:rsid w:val="001335DD"/>
    <w:rsid w:val="001336B6"/>
    <w:rsid w:val="00134803"/>
    <w:rsid w:val="00135878"/>
    <w:rsid w:val="00136F3D"/>
    <w:rsid w:val="00142183"/>
    <w:rsid w:val="00145076"/>
    <w:rsid w:val="00145122"/>
    <w:rsid w:val="00145FAB"/>
    <w:rsid w:val="001543AC"/>
    <w:rsid w:val="00166498"/>
    <w:rsid w:val="00166789"/>
    <w:rsid w:val="001732A2"/>
    <w:rsid w:val="00177350"/>
    <w:rsid w:val="0018545A"/>
    <w:rsid w:val="00192873"/>
    <w:rsid w:val="00193AA8"/>
    <w:rsid w:val="001A518B"/>
    <w:rsid w:val="001B0634"/>
    <w:rsid w:val="001B0E86"/>
    <w:rsid w:val="001B2626"/>
    <w:rsid w:val="001B5017"/>
    <w:rsid w:val="001B5B5F"/>
    <w:rsid w:val="001C1F61"/>
    <w:rsid w:val="001C2B90"/>
    <w:rsid w:val="001C2BE8"/>
    <w:rsid w:val="001C6B94"/>
    <w:rsid w:val="001D056A"/>
    <w:rsid w:val="001D568D"/>
    <w:rsid w:val="001E0ABD"/>
    <w:rsid w:val="001F06D8"/>
    <w:rsid w:val="001F51D6"/>
    <w:rsid w:val="002024DE"/>
    <w:rsid w:val="00205AEB"/>
    <w:rsid w:val="0020748A"/>
    <w:rsid w:val="0021228F"/>
    <w:rsid w:val="002138B1"/>
    <w:rsid w:val="00225848"/>
    <w:rsid w:val="00225DEF"/>
    <w:rsid w:val="00226D87"/>
    <w:rsid w:val="00227765"/>
    <w:rsid w:val="00227966"/>
    <w:rsid w:val="00232B14"/>
    <w:rsid w:val="00233317"/>
    <w:rsid w:val="00237988"/>
    <w:rsid w:val="00242552"/>
    <w:rsid w:val="002431F5"/>
    <w:rsid w:val="00246C47"/>
    <w:rsid w:val="0024794B"/>
    <w:rsid w:val="0025253A"/>
    <w:rsid w:val="002573E8"/>
    <w:rsid w:val="00257C8F"/>
    <w:rsid w:val="00261550"/>
    <w:rsid w:val="00261E17"/>
    <w:rsid w:val="002622B5"/>
    <w:rsid w:val="0027040D"/>
    <w:rsid w:val="0027149D"/>
    <w:rsid w:val="00274446"/>
    <w:rsid w:val="00284A7B"/>
    <w:rsid w:val="00285DA6"/>
    <w:rsid w:val="00286E08"/>
    <w:rsid w:val="0029689D"/>
    <w:rsid w:val="002A16BF"/>
    <w:rsid w:val="002B064F"/>
    <w:rsid w:val="002B351D"/>
    <w:rsid w:val="002B671C"/>
    <w:rsid w:val="002B682A"/>
    <w:rsid w:val="002B753C"/>
    <w:rsid w:val="002C42C1"/>
    <w:rsid w:val="002D0AB8"/>
    <w:rsid w:val="002E267B"/>
    <w:rsid w:val="002F245E"/>
    <w:rsid w:val="002F3499"/>
    <w:rsid w:val="00301528"/>
    <w:rsid w:val="00306CA4"/>
    <w:rsid w:val="0030742A"/>
    <w:rsid w:val="00310896"/>
    <w:rsid w:val="00322418"/>
    <w:rsid w:val="00323EDA"/>
    <w:rsid w:val="00332C3A"/>
    <w:rsid w:val="003335E1"/>
    <w:rsid w:val="00334280"/>
    <w:rsid w:val="0033462F"/>
    <w:rsid w:val="00350655"/>
    <w:rsid w:val="003521BD"/>
    <w:rsid w:val="0035244C"/>
    <w:rsid w:val="00352DFA"/>
    <w:rsid w:val="00355AB0"/>
    <w:rsid w:val="003615D5"/>
    <w:rsid w:val="00371634"/>
    <w:rsid w:val="00373FE6"/>
    <w:rsid w:val="003822B9"/>
    <w:rsid w:val="0039125C"/>
    <w:rsid w:val="003940A8"/>
    <w:rsid w:val="0039410F"/>
    <w:rsid w:val="00396549"/>
    <w:rsid w:val="00396672"/>
    <w:rsid w:val="003976BB"/>
    <w:rsid w:val="003A2308"/>
    <w:rsid w:val="003B39A7"/>
    <w:rsid w:val="003B79F6"/>
    <w:rsid w:val="003C1370"/>
    <w:rsid w:val="003C52E3"/>
    <w:rsid w:val="003C59C1"/>
    <w:rsid w:val="003D123E"/>
    <w:rsid w:val="003D2ABB"/>
    <w:rsid w:val="003D4FB1"/>
    <w:rsid w:val="003D68A7"/>
    <w:rsid w:val="003E5378"/>
    <w:rsid w:val="003E7C01"/>
    <w:rsid w:val="003F00F7"/>
    <w:rsid w:val="003F04A5"/>
    <w:rsid w:val="004053E5"/>
    <w:rsid w:val="00405DD1"/>
    <w:rsid w:val="00411947"/>
    <w:rsid w:val="0041575C"/>
    <w:rsid w:val="00415E5E"/>
    <w:rsid w:val="00432954"/>
    <w:rsid w:val="0043419D"/>
    <w:rsid w:val="00441A0B"/>
    <w:rsid w:val="00454C04"/>
    <w:rsid w:val="004736D9"/>
    <w:rsid w:val="00476642"/>
    <w:rsid w:val="00483BAC"/>
    <w:rsid w:val="00485AE9"/>
    <w:rsid w:val="00490B54"/>
    <w:rsid w:val="00494F8B"/>
    <w:rsid w:val="004B5667"/>
    <w:rsid w:val="004C17C1"/>
    <w:rsid w:val="004C2271"/>
    <w:rsid w:val="004C5CD8"/>
    <w:rsid w:val="004D1A6B"/>
    <w:rsid w:val="004D27B7"/>
    <w:rsid w:val="004D2C82"/>
    <w:rsid w:val="004E7AE6"/>
    <w:rsid w:val="004F285B"/>
    <w:rsid w:val="004F3140"/>
    <w:rsid w:val="004F5CD5"/>
    <w:rsid w:val="004F6D70"/>
    <w:rsid w:val="005019F6"/>
    <w:rsid w:val="00502CF9"/>
    <w:rsid w:val="00507A3E"/>
    <w:rsid w:val="00507C35"/>
    <w:rsid w:val="00510576"/>
    <w:rsid w:val="005137D1"/>
    <w:rsid w:val="0051514D"/>
    <w:rsid w:val="0052077C"/>
    <w:rsid w:val="00526D10"/>
    <w:rsid w:val="005309C8"/>
    <w:rsid w:val="005316FE"/>
    <w:rsid w:val="00531E13"/>
    <w:rsid w:val="005407BA"/>
    <w:rsid w:val="00547E31"/>
    <w:rsid w:val="00551794"/>
    <w:rsid w:val="00555C48"/>
    <w:rsid w:val="00556AC6"/>
    <w:rsid w:val="005640BC"/>
    <w:rsid w:val="00570E2C"/>
    <w:rsid w:val="00570EB7"/>
    <w:rsid w:val="005715D0"/>
    <w:rsid w:val="00573217"/>
    <w:rsid w:val="005806CD"/>
    <w:rsid w:val="00590B03"/>
    <w:rsid w:val="00591529"/>
    <w:rsid w:val="0059336A"/>
    <w:rsid w:val="005B10C2"/>
    <w:rsid w:val="005D5F4D"/>
    <w:rsid w:val="005D6010"/>
    <w:rsid w:val="005D6096"/>
    <w:rsid w:val="005E7A32"/>
    <w:rsid w:val="005F4019"/>
    <w:rsid w:val="00600FA7"/>
    <w:rsid w:val="006014B4"/>
    <w:rsid w:val="0060627D"/>
    <w:rsid w:val="00613148"/>
    <w:rsid w:val="00615CCA"/>
    <w:rsid w:val="00616772"/>
    <w:rsid w:val="00626B39"/>
    <w:rsid w:val="00653A74"/>
    <w:rsid w:val="00655B6D"/>
    <w:rsid w:val="006635C2"/>
    <w:rsid w:val="00685617"/>
    <w:rsid w:val="006928DE"/>
    <w:rsid w:val="00693A6E"/>
    <w:rsid w:val="0069572A"/>
    <w:rsid w:val="00695C15"/>
    <w:rsid w:val="00696466"/>
    <w:rsid w:val="00696EA8"/>
    <w:rsid w:val="006A2F62"/>
    <w:rsid w:val="006A54FA"/>
    <w:rsid w:val="006A7D9E"/>
    <w:rsid w:val="006C1BCC"/>
    <w:rsid w:val="006C306F"/>
    <w:rsid w:val="006C5D01"/>
    <w:rsid w:val="006C72BB"/>
    <w:rsid w:val="006D3FFE"/>
    <w:rsid w:val="006D5FE2"/>
    <w:rsid w:val="006D60D5"/>
    <w:rsid w:val="006D6A1E"/>
    <w:rsid w:val="006D7C8B"/>
    <w:rsid w:val="006E71F3"/>
    <w:rsid w:val="006F2BAD"/>
    <w:rsid w:val="006F2BCE"/>
    <w:rsid w:val="00707C91"/>
    <w:rsid w:val="0071179F"/>
    <w:rsid w:val="00720880"/>
    <w:rsid w:val="00721FB1"/>
    <w:rsid w:val="00722104"/>
    <w:rsid w:val="00732957"/>
    <w:rsid w:val="007424DF"/>
    <w:rsid w:val="00743676"/>
    <w:rsid w:val="00743FFD"/>
    <w:rsid w:val="00750A3E"/>
    <w:rsid w:val="00750CB9"/>
    <w:rsid w:val="00760BF7"/>
    <w:rsid w:val="00761758"/>
    <w:rsid w:val="007768E9"/>
    <w:rsid w:val="00785109"/>
    <w:rsid w:val="007918ED"/>
    <w:rsid w:val="007A3624"/>
    <w:rsid w:val="007A6284"/>
    <w:rsid w:val="007A6A8F"/>
    <w:rsid w:val="007B178E"/>
    <w:rsid w:val="007C14BE"/>
    <w:rsid w:val="007C5374"/>
    <w:rsid w:val="007E0BE4"/>
    <w:rsid w:val="007E3F9B"/>
    <w:rsid w:val="007E49C3"/>
    <w:rsid w:val="007E4A14"/>
    <w:rsid w:val="007F5352"/>
    <w:rsid w:val="007F5CA1"/>
    <w:rsid w:val="007F735B"/>
    <w:rsid w:val="00804F55"/>
    <w:rsid w:val="00806A75"/>
    <w:rsid w:val="008150F6"/>
    <w:rsid w:val="00824B9D"/>
    <w:rsid w:val="008262E9"/>
    <w:rsid w:val="008367D6"/>
    <w:rsid w:val="008407F1"/>
    <w:rsid w:val="00843945"/>
    <w:rsid w:val="008565E2"/>
    <w:rsid w:val="00867AB2"/>
    <w:rsid w:val="00871CCB"/>
    <w:rsid w:val="008752BD"/>
    <w:rsid w:val="0087698D"/>
    <w:rsid w:val="00883CB7"/>
    <w:rsid w:val="00887234"/>
    <w:rsid w:val="00893114"/>
    <w:rsid w:val="00897DD6"/>
    <w:rsid w:val="008A5083"/>
    <w:rsid w:val="008A5587"/>
    <w:rsid w:val="008C72AD"/>
    <w:rsid w:val="008C7AD8"/>
    <w:rsid w:val="008E62D6"/>
    <w:rsid w:val="008F1BBF"/>
    <w:rsid w:val="00900430"/>
    <w:rsid w:val="009039FF"/>
    <w:rsid w:val="00921AC9"/>
    <w:rsid w:val="009221D7"/>
    <w:rsid w:val="00927A04"/>
    <w:rsid w:val="00934290"/>
    <w:rsid w:val="0094008A"/>
    <w:rsid w:val="00941E72"/>
    <w:rsid w:val="00951B34"/>
    <w:rsid w:val="0096064A"/>
    <w:rsid w:val="00966945"/>
    <w:rsid w:val="009677FD"/>
    <w:rsid w:val="00967F08"/>
    <w:rsid w:val="009721DE"/>
    <w:rsid w:val="009725E7"/>
    <w:rsid w:val="00976DDC"/>
    <w:rsid w:val="00985FCB"/>
    <w:rsid w:val="009860AB"/>
    <w:rsid w:val="0098709F"/>
    <w:rsid w:val="00992336"/>
    <w:rsid w:val="00996E3A"/>
    <w:rsid w:val="00996EDD"/>
    <w:rsid w:val="00997BDA"/>
    <w:rsid w:val="009A6B6C"/>
    <w:rsid w:val="009A6EB8"/>
    <w:rsid w:val="009B7E1F"/>
    <w:rsid w:val="009C0B1F"/>
    <w:rsid w:val="009C2998"/>
    <w:rsid w:val="009C7AA4"/>
    <w:rsid w:val="009D2B07"/>
    <w:rsid w:val="009D7BD4"/>
    <w:rsid w:val="009E259B"/>
    <w:rsid w:val="009E4FD9"/>
    <w:rsid w:val="009F0FAF"/>
    <w:rsid w:val="009F25F5"/>
    <w:rsid w:val="009F3DF7"/>
    <w:rsid w:val="009F3EE7"/>
    <w:rsid w:val="009F6F06"/>
    <w:rsid w:val="009F7590"/>
    <w:rsid w:val="00A115A8"/>
    <w:rsid w:val="00A27793"/>
    <w:rsid w:val="00A30AE7"/>
    <w:rsid w:val="00A3328F"/>
    <w:rsid w:val="00A36EF8"/>
    <w:rsid w:val="00A411B5"/>
    <w:rsid w:val="00A43674"/>
    <w:rsid w:val="00A5082B"/>
    <w:rsid w:val="00A55E42"/>
    <w:rsid w:val="00A56B55"/>
    <w:rsid w:val="00A65443"/>
    <w:rsid w:val="00A65E6B"/>
    <w:rsid w:val="00A66974"/>
    <w:rsid w:val="00A73BA0"/>
    <w:rsid w:val="00A82E10"/>
    <w:rsid w:val="00A83983"/>
    <w:rsid w:val="00A83DC3"/>
    <w:rsid w:val="00A83E3E"/>
    <w:rsid w:val="00A90649"/>
    <w:rsid w:val="00A927BE"/>
    <w:rsid w:val="00A97F12"/>
    <w:rsid w:val="00AA27B3"/>
    <w:rsid w:val="00AA557B"/>
    <w:rsid w:val="00AB1251"/>
    <w:rsid w:val="00AB31DB"/>
    <w:rsid w:val="00AC7773"/>
    <w:rsid w:val="00AD428E"/>
    <w:rsid w:val="00AE1652"/>
    <w:rsid w:val="00AE2DAC"/>
    <w:rsid w:val="00AE6AFB"/>
    <w:rsid w:val="00AF3AE5"/>
    <w:rsid w:val="00AF4083"/>
    <w:rsid w:val="00B0005F"/>
    <w:rsid w:val="00B01AAB"/>
    <w:rsid w:val="00B07842"/>
    <w:rsid w:val="00B1017C"/>
    <w:rsid w:val="00B10D13"/>
    <w:rsid w:val="00B130C4"/>
    <w:rsid w:val="00B14B69"/>
    <w:rsid w:val="00B15811"/>
    <w:rsid w:val="00B16C4E"/>
    <w:rsid w:val="00B200DD"/>
    <w:rsid w:val="00B30F9B"/>
    <w:rsid w:val="00B33FC7"/>
    <w:rsid w:val="00B43E2B"/>
    <w:rsid w:val="00B45EC4"/>
    <w:rsid w:val="00B4642D"/>
    <w:rsid w:val="00B50411"/>
    <w:rsid w:val="00B52210"/>
    <w:rsid w:val="00B54B31"/>
    <w:rsid w:val="00B60E4D"/>
    <w:rsid w:val="00B67FBD"/>
    <w:rsid w:val="00B716AD"/>
    <w:rsid w:val="00B77963"/>
    <w:rsid w:val="00B8328C"/>
    <w:rsid w:val="00B84FE2"/>
    <w:rsid w:val="00B87185"/>
    <w:rsid w:val="00B87CD7"/>
    <w:rsid w:val="00BA1071"/>
    <w:rsid w:val="00BA322C"/>
    <w:rsid w:val="00BB1F3C"/>
    <w:rsid w:val="00BB532D"/>
    <w:rsid w:val="00BD47DA"/>
    <w:rsid w:val="00BD646A"/>
    <w:rsid w:val="00BE0E43"/>
    <w:rsid w:val="00BF757E"/>
    <w:rsid w:val="00BF7DEB"/>
    <w:rsid w:val="00C03ACE"/>
    <w:rsid w:val="00C1092A"/>
    <w:rsid w:val="00C15057"/>
    <w:rsid w:val="00C1737E"/>
    <w:rsid w:val="00C223D9"/>
    <w:rsid w:val="00C22ED6"/>
    <w:rsid w:val="00C25365"/>
    <w:rsid w:val="00C255DC"/>
    <w:rsid w:val="00C31CCF"/>
    <w:rsid w:val="00C346AA"/>
    <w:rsid w:val="00C34956"/>
    <w:rsid w:val="00C40A7C"/>
    <w:rsid w:val="00C40DFC"/>
    <w:rsid w:val="00C42995"/>
    <w:rsid w:val="00C4433F"/>
    <w:rsid w:val="00C52979"/>
    <w:rsid w:val="00C55B5D"/>
    <w:rsid w:val="00C604C6"/>
    <w:rsid w:val="00C656B4"/>
    <w:rsid w:val="00C74E4A"/>
    <w:rsid w:val="00C76ADB"/>
    <w:rsid w:val="00CA5051"/>
    <w:rsid w:val="00CA6686"/>
    <w:rsid w:val="00CA7A70"/>
    <w:rsid w:val="00CB10A3"/>
    <w:rsid w:val="00CB5C16"/>
    <w:rsid w:val="00CB5F58"/>
    <w:rsid w:val="00CC1122"/>
    <w:rsid w:val="00CC457F"/>
    <w:rsid w:val="00CC4D9F"/>
    <w:rsid w:val="00CD6214"/>
    <w:rsid w:val="00CD7553"/>
    <w:rsid w:val="00CE3663"/>
    <w:rsid w:val="00CF2367"/>
    <w:rsid w:val="00CF385D"/>
    <w:rsid w:val="00CF4679"/>
    <w:rsid w:val="00CF588E"/>
    <w:rsid w:val="00D149C4"/>
    <w:rsid w:val="00D176C0"/>
    <w:rsid w:val="00D17CBD"/>
    <w:rsid w:val="00D26113"/>
    <w:rsid w:val="00D27DC4"/>
    <w:rsid w:val="00D339D6"/>
    <w:rsid w:val="00D364AA"/>
    <w:rsid w:val="00D4023C"/>
    <w:rsid w:val="00D514E4"/>
    <w:rsid w:val="00D52D32"/>
    <w:rsid w:val="00D534C7"/>
    <w:rsid w:val="00D62462"/>
    <w:rsid w:val="00D67FAC"/>
    <w:rsid w:val="00D75E52"/>
    <w:rsid w:val="00D8185B"/>
    <w:rsid w:val="00D8198E"/>
    <w:rsid w:val="00D903C1"/>
    <w:rsid w:val="00D94B77"/>
    <w:rsid w:val="00D94F9D"/>
    <w:rsid w:val="00DA302C"/>
    <w:rsid w:val="00DA3158"/>
    <w:rsid w:val="00DA386C"/>
    <w:rsid w:val="00DB054C"/>
    <w:rsid w:val="00DB1A8C"/>
    <w:rsid w:val="00DB6B9C"/>
    <w:rsid w:val="00DC3A03"/>
    <w:rsid w:val="00DC4666"/>
    <w:rsid w:val="00DC5823"/>
    <w:rsid w:val="00DD13D6"/>
    <w:rsid w:val="00DD51CF"/>
    <w:rsid w:val="00DE02BD"/>
    <w:rsid w:val="00DF0D6C"/>
    <w:rsid w:val="00DF5DC7"/>
    <w:rsid w:val="00E0093B"/>
    <w:rsid w:val="00E05CC8"/>
    <w:rsid w:val="00E06620"/>
    <w:rsid w:val="00E07899"/>
    <w:rsid w:val="00E15AB4"/>
    <w:rsid w:val="00E17532"/>
    <w:rsid w:val="00E23EC2"/>
    <w:rsid w:val="00E25B4A"/>
    <w:rsid w:val="00E26A9C"/>
    <w:rsid w:val="00E31CD9"/>
    <w:rsid w:val="00E32425"/>
    <w:rsid w:val="00E32F0D"/>
    <w:rsid w:val="00E342C5"/>
    <w:rsid w:val="00E40263"/>
    <w:rsid w:val="00E41308"/>
    <w:rsid w:val="00E47457"/>
    <w:rsid w:val="00E50371"/>
    <w:rsid w:val="00E5491F"/>
    <w:rsid w:val="00E6084E"/>
    <w:rsid w:val="00E60B8F"/>
    <w:rsid w:val="00E622EB"/>
    <w:rsid w:val="00E757FA"/>
    <w:rsid w:val="00E76E8B"/>
    <w:rsid w:val="00E9707F"/>
    <w:rsid w:val="00EB3029"/>
    <w:rsid w:val="00EB7897"/>
    <w:rsid w:val="00EB7A52"/>
    <w:rsid w:val="00ED1AE9"/>
    <w:rsid w:val="00ED35C6"/>
    <w:rsid w:val="00EE24ED"/>
    <w:rsid w:val="00EE50EC"/>
    <w:rsid w:val="00EF5A47"/>
    <w:rsid w:val="00EF5ABA"/>
    <w:rsid w:val="00F0060D"/>
    <w:rsid w:val="00F1005C"/>
    <w:rsid w:val="00F119E6"/>
    <w:rsid w:val="00F268A0"/>
    <w:rsid w:val="00F30640"/>
    <w:rsid w:val="00F3308A"/>
    <w:rsid w:val="00F4225E"/>
    <w:rsid w:val="00F55AE8"/>
    <w:rsid w:val="00F56E41"/>
    <w:rsid w:val="00F606BF"/>
    <w:rsid w:val="00F6270A"/>
    <w:rsid w:val="00F62D6A"/>
    <w:rsid w:val="00F654DC"/>
    <w:rsid w:val="00F73427"/>
    <w:rsid w:val="00F814CA"/>
    <w:rsid w:val="00F84168"/>
    <w:rsid w:val="00F86961"/>
    <w:rsid w:val="00F878B2"/>
    <w:rsid w:val="00F90359"/>
    <w:rsid w:val="00F93C69"/>
    <w:rsid w:val="00FA024A"/>
    <w:rsid w:val="00FB3675"/>
    <w:rsid w:val="00FC1E04"/>
    <w:rsid w:val="00FC37F2"/>
    <w:rsid w:val="00FC3CFE"/>
    <w:rsid w:val="00FC54E6"/>
    <w:rsid w:val="00FD3EE8"/>
    <w:rsid w:val="00FD70FD"/>
    <w:rsid w:val="00FE5B2E"/>
    <w:rsid w:val="00FF4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DAA6FE"/>
  <w15:docId w15:val="{82E5B191-2A8E-4731-9DDC-D678A427B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Arial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B7A52"/>
    <w:pPr>
      <w:spacing w:before="60" w:after="120" w:line="264" w:lineRule="auto"/>
    </w:pPr>
  </w:style>
  <w:style w:type="paragraph" w:styleId="Nadpis1">
    <w:name w:val="heading 1"/>
    <w:basedOn w:val="Normln"/>
    <w:next w:val="Normln"/>
    <w:link w:val="Nadpis1Char"/>
    <w:uiPriority w:val="9"/>
    <w:qFormat/>
    <w:rsid w:val="003506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A2447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50655"/>
    <w:pPr>
      <w:tabs>
        <w:tab w:val="left" w:pos="567"/>
        <w:tab w:val="center" w:pos="4536"/>
        <w:tab w:val="right" w:pos="9072"/>
        <w:tab w:val="right" w:leader="dot" w:pos="10206"/>
      </w:tabs>
      <w:spacing w:after="0" w:line="240" w:lineRule="auto"/>
    </w:pPr>
    <w:rPr>
      <w:rFonts w:eastAsiaTheme="minorHAnsi"/>
      <w:color w:val="262626" w:themeColor="text1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350655"/>
    <w:rPr>
      <w:rFonts w:eastAsiaTheme="minorHAnsi"/>
      <w:color w:val="262626" w:themeColor="text1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350655"/>
    <w:pPr>
      <w:tabs>
        <w:tab w:val="left" w:pos="567"/>
        <w:tab w:val="center" w:pos="4536"/>
        <w:tab w:val="right" w:pos="9072"/>
        <w:tab w:val="right" w:leader="dot" w:pos="10206"/>
      </w:tabs>
      <w:spacing w:after="0" w:line="240" w:lineRule="auto"/>
    </w:pPr>
    <w:rPr>
      <w:rFonts w:eastAsiaTheme="minorHAnsi"/>
      <w:color w:val="262626" w:themeColor="text1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350655"/>
    <w:rPr>
      <w:rFonts w:eastAsiaTheme="minorHAnsi"/>
      <w:color w:val="262626" w:themeColor="text1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2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6928DE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qFormat/>
    <w:rsid w:val="006928DE"/>
    <w:rPr>
      <w:color w:val="0000FF"/>
      <w:u w:val="single"/>
    </w:rPr>
  </w:style>
  <w:style w:type="character" w:styleId="Zstupntext">
    <w:name w:val="Placeholder Text"/>
    <w:uiPriority w:val="99"/>
    <w:semiHidden/>
    <w:rsid w:val="00E50371"/>
    <w:rPr>
      <w:color w:val="808080"/>
    </w:rPr>
  </w:style>
  <w:style w:type="paragraph" w:customStyle="1" w:styleId="NadpisX">
    <w:name w:val="Nadpis (X)"/>
    <w:basedOn w:val="Normln"/>
    <w:next w:val="Normln"/>
    <w:link w:val="NadpisXChar"/>
    <w:qFormat/>
    <w:rsid w:val="00142183"/>
    <w:pPr>
      <w:keepNext/>
      <w:keepLines/>
      <w:tabs>
        <w:tab w:val="left" w:pos="851"/>
        <w:tab w:val="right" w:leader="dot" w:pos="10206"/>
      </w:tabs>
      <w:spacing w:before="480" w:after="60" w:line="240" w:lineRule="auto"/>
      <w:outlineLvl w:val="0"/>
    </w:pPr>
    <w:rPr>
      <w:rFonts w:eastAsiaTheme="minorHAnsi"/>
      <w:b/>
      <w:bCs/>
      <w:caps/>
      <w:color w:val="233060"/>
      <w:sz w:val="32"/>
      <w:lang w:eastAsia="en-US"/>
    </w:rPr>
  </w:style>
  <w:style w:type="character" w:customStyle="1" w:styleId="NadpisXChar">
    <w:name w:val="Nadpis (X) Char"/>
    <w:basedOn w:val="Standardnpsmoodstavce"/>
    <w:link w:val="NadpisX"/>
    <w:rsid w:val="00142183"/>
    <w:rPr>
      <w:rFonts w:eastAsiaTheme="minorHAnsi"/>
      <w:b/>
      <w:bCs/>
      <w:caps/>
      <w:color w:val="233060"/>
      <w:sz w:val="32"/>
      <w:lang w:eastAsia="en-US"/>
    </w:rPr>
  </w:style>
  <w:style w:type="paragraph" w:customStyle="1" w:styleId="NadpisXX">
    <w:name w:val="Nadpis (X.X)"/>
    <w:basedOn w:val="Normln"/>
    <w:next w:val="Normln"/>
    <w:link w:val="NadpisXXChar"/>
    <w:qFormat/>
    <w:rsid w:val="00142183"/>
    <w:pPr>
      <w:keepNext/>
      <w:keepLines/>
      <w:tabs>
        <w:tab w:val="left" w:pos="851"/>
        <w:tab w:val="right" w:leader="dot" w:pos="10206"/>
      </w:tabs>
      <w:spacing w:before="480" w:after="60" w:line="240" w:lineRule="auto"/>
      <w:outlineLvl w:val="1"/>
    </w:pPr>
    <w:rPr>
      <w:rFonts w:eastAsiaTheme="minorHAnsi"/>
      <w:b/>
      <w:bCs/>
      <w:color w:val="233060"/>
      <w:sz w:val="28"/>
      <w:szCs w:val="28"/>
      <w:lang w:eastAsia="en-US"/>
    </w:rPr>
  </w:style>
  <w:style w:type="character" w:customStyle="1" w:styleId="NadpisXXChar">
    <w:name w:val="Nadpis (X.X) Char"/>
    <w:basedOn w:val="Standardnpsmoodstavce"/>
    <w:link w:val="NadpisXX"/>
    <w:rsid w:val="00142183"/>
    <w:rPr>
      <w:rFonts w:eastAsiaTheme="minorHAnsi"/>
      <w:b/>
      <w:bCs/>
      <w:color w:val="233060"/>
      <w:sz w:val="28"/>
      <w:szCs w:val="28"/>
      <w:lang w:eastAsia="en-US"/>
    </w:rPr>
  </w:style>
  <w:style w:type="paragraph" w:customStyle="1" w:styleId="NadpisXXX">
    <w:name w:val="Nadpis (X.X.X)"/>
    <w:basedOn w:val="Normln"/>
    <w:next w:val="Normln"/>
    <w:link w:val="NadpisXXXChar"/>
    <w:autoRedefine/>
    <w:qFormat/>
    <w:rsid w:val="00142183"/>
    <w:pPr>
      <w:keepNext/>
      <w:keepLines/>
      <w:tabs>
        <w:tab w:val="left" w:pos="851"/>
        <w:tab w:val="right" w:leader="dot" w:pos="10206"/>
      </w:tabs>
      <w:spacing w:before="480" w:line="240" w:lineRule="auto"/>
      <w:outlineLvl w:val="2"/>
    </w:pPr>
    <w:rPr>
      <w:rFonts w:eastAsiaTheme="minorHAnsi"/>
      <w:b/>
      <w:color w:val="233060"/>
      <w:sz w:val="24"/>
      <w:szCs w:val="24"/>
      <w:lang w:eastAsia="en-US"/>
    </w:rPr>
  </w:style>
  <w:style w:type="character" w:customStyle="1" w:styleId="NadpisXXXChar">
    <w:name w:val="Nadpis (X.X.X) Char"/>
    <w:basedOn w:val="Standardnpsmoodstavce"/>
    <w:link w:val="NadpisXXX"/>
    <w:rsid w:val="00142183"/>
    <w:rPr>
      <w:rFonts w:eastAsiaTheme="minorHAnsi"/>
      <w:b/>
      <w:color w:val="233060"/>
      <w:sz w:val="24"/>
      <w:szCs w:val="24"/>
      <w:lang w:eastAsia="en-US"/>
    </w:rPr>
  </w:style>
  <w:style w:type="character" w:customStyle="1" w:styleId="Nadpis1Char">
    <w:name w:val="Nadpis 1 Char"/>
    <w:basedOn w:val="Standardnpsmoodstavce"/>
    <w:link w:val="Nadpis1"/>
    <w:uiPriority w:val="9"/>
    <w:rsid w:val="00350655"/>
    <w:rPr>
      <w:rFonts w:asciiTheme="majorHAnsi" w:eastAsiaTheme="majorEastAsia" w:hAnsiTheme="majorHAnsi" w:cstheme="majorBidi"/>
      <w:color w:val="1A2447" w:themeColor="accent1" w:themeShade="BF"/>
      <w:sz w:val="32"/>
      <w:szCs w:val="32"/>
    </w:rPr>
  </w:style>
  <w:style w:type="paragraph" w:styleId="Nadpisobsahu">
    <w:name w:val="TOC Heading"/>
    <w:basedOn w:val="Nadpis1"/>
    <w:next w:val="Normln"/>
    <w:link w:val="NadpisobsahuChar"/>
    <w:uiPriority w:val="39"/>
    <w:unhideWhenUsed/>
    <w:qFormat/>
    <w:rsid w:val="00350655"/>
    <w:pPr>
      <w:tabs>
        <w:tab w:val="left" w:pos="567"/>
        <w:tab w:val="right" w:leader="dot" w:pos="10206"/>
      </w:tabs>
      <w:spacing w:before="0" w:after="240" w:line="240" w:lineRule="auto"/>
      <w:outlineLvl w:val="9"/>
    </w:pPr>
    <w:rPr>
      <w:b/>
      <w:caps/>
      <w:color w:val="233060"/>
    </w:rPr>
  </w:style>
  <w:style w:type="character" w:customStyle="1" w:styleId="NadpisobsahuChar">
    <w:name w:val="Nadpis obsahu Char"/>
    <w:basedOn w:val="Nadpis1Char"/>
    <w:link w:val="Nadpisobsahu"/>
    <w:uiPriority w:val="39"/>
    <w:rsid w:val="00350655"/>
    <w:rPr>
      <w:rFonts w:asciiTheme="majorHAnsi" w:eastAsiaTheme="majorEastAsia" w:hAnsiTheme="majorHAnsi" w:cstheme="majorBidi"/>
      <w:b/>
      <w:caps/>
      <w:color w:val="233060"/>
      <w:sz w:val="32"/>
      <w:szCs w:val="32"/>
    </w:rPr>
  </w:style>
  <w:style w:type="paragraph" w:customStyle="1" w:styleId="Zdroj">
    <w:name w:val="Zdroj"/>
    <w:basedOn w:val="Normln"/>
    <w:next w:val="Normln"/>
    <w:link w:val="ZdrojChar"/>
    <w:qFormat/>
    <w:rsid w:val="00350655"/>
    <w:pPr>
      <w:tabs>
        <w:tab w:val="left" w:pos="567"/>
        <w:tab w:val="right" w:leader="dot" w:pos="10206"/>
      </w:tabs>
      <w:spacing w:before="120" w:after="360" w:line="240" w:lineRule="auto"/>
    </w:pPr>
    <w:rPr>
      <w:rFonts w:eastAsiaTheme="minorHAnsi"/>
      <w:color w:val="929292" w:themeColor="text1" w:themeTint="80"/>
      <w:sz w:val="20"/>
      <w:lang w:eastAsia="en-US"/>
    </w:rPr>
  </w:style>
  <w:style w:type="character" w:customStyle="1" w:styleId="ZdrojChar">
    <w:name w:val="Zdroj Char"/>
    <w:basedOn w:val="Standardnpsmoodstavce"/>
    <w:link w:val="Zdroj"/>
    <w:rsid w:val="00350655"/>
    <w:rPr>
      <w:rFonts w:eastAsiaTheme="minorHAnsi"/>
      <w:color w:val="929292" w:themeColor="text1" w:themeTint="80"/>
      <w:sz w:val="20"/>
      <w:lang w:eastAsia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286E08"/>
    <w:pPr>
      <w:tabs>
        <w:tab w:val="left" w:pos="567"/>
        <w:tab w:val="right" w:leader="dot" w:pos="10206"/>
      </w:tabs>
      <w:spacing w:before="0"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286E08"/>
    <w:rPr>
      <w:rFonts w:eastAsiaTheme="minorHAnsi"/>
      <w:sz w:val="20"/>
      <w:szCs w:val="20"/>
      <w:lang w:eastAsia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286E08"/>
    <w:rPr>
      <w:vertAlign w:val="superscript"/>
    </w:rPr>
  </w:style>
  <w:style w:type="paragraph" w:customStyle="1" w:styleId="Odrkypky">
    <w:name w:val="Odrážky páčky"/>
    <w:basedOn w:val="Normln"/>
    <w:link w:val="OdrkypkyChar"/>
    <w:qFormat/>
    <w:rsid w:val="00286E08"/>
    <w:pPr>
      <w:numPr>
        <w:numId w:val="7"/>
      </w:numPr>
      <w:spacing w:before="120" w:line="240" w:lineRule="auto"/>
      <w:contextualSpacing/>
      <w:jc w:val="both"/>
      <w:outlineLvl w:val="3"/>
    </w:pPr>
    <w:rPr>
      <w:rFonts w:eastAsiaTheme="minorHAnsi"/>
      <w:lang w:eastAsia="en-US"/>
    </w:rPr>
  </w:style>
  <w:style w:type="paragraph" w:styleId="Titulek">
    <w:name w:val="caption"/>
    <w:aliases w:val="Tabulky,Grafy,Obrázky,Přílohy"/>
    <w:next w:val="Normln"/>
    <w:link w:val="TitulekChar"/>
    <w:uiPriority w:val="35"/>
    <w:unhideWhenUsed/>
    <w:qFormat/>
    <w:rsid w:val="00286E08"/>
    <w:pPr>
      <w:keepNext/>
      <w:keepLines/>
      <w:spacing w:before="360" w:after="160" w:line="259" w:lineRule="auto"/>
      <w:ind w:left="1276" w:hanging="1276"/>
    </w:pPr>
    <w:rPr>
      <w:rFonts w:eastAsiaTheme="minorHAnsi"/>
      <w:b/>
      <w:bCs/>
      <w:iCs/>
      <w:color w:val="23315F" w:themeColor="accent1"/>
      <w:lang w:eastAsia="en-US"/>
    </w:rPr>
  </w:style>
  <w:style w:type="character" w:customStyle="1" w:styleId="OdrkypkyChar">
    <w:name w:val="Odrážky páčky Char"/>
    <w:basedOn w:val="Standardnpsmoodstavce"/>
    <w:link w:val="Odrkypky"/>
    <w:rsid w:val="00286E08"/>
    <w:rPr>
      <w:rFonts w:eastAsiaTheme="minorHAnsi"/>
      <w:lang w:eastAsia="en-US"/>
    </w:rPr>
  </w:style>
  <w:style w:type="paragraph" w:styleId="Seznamobrzk">
    <w:name w:val="table of figures"/>
    <w:basedOn w:val="Normln"/>
    <w:next w:val="Normln"/>
    <w:uiPriority w:val="99"/>
    <w:unhideWhenUsed/>
    <w:rsid w:val="00286E08"/>
    <w:pPr>
      <w:tabs>
        <w:tab w:val="left" w:pos="1276"/>
        <w:tab w:val="right" w:leader="dot" w:pos="10206"/>
      </w:tabs>
      <w:spacing w:before="0" w:after="0" w:line="240" w:lineRule="auto"/>
    </w:pPr>
    <w:rPr>
      <w:rFonts w:eastAsiaTheme="minorHAnsi"/>
      <w:lang w:eastAsia="en-US"/>
    </w:rPr>
  </w:style>
  <w:style w:type="paragraph" w:customStyle="1" w:styleId="Titulkamodrnadpis">
    <w:name w:val="Titulka modrý nadpis"/>
    <w:basedOn w:val="Normln"/>
    <w:next w:val="Titulkaervennadpis"/>
    <w:link w:val="TitulkamodrnadpisChar"/>
    <w:qFormat/>
    <w:rsid w:val="00286E08"/>
    <w:pPr>
      <w:keepNext/>
      <w:keepLines/>
      <w:spacing w:before="0" w:line="240" w:lineRule="auto"/>
    </w:pPr>
    <w:rPr>
      <w:rFonts w:eastAsiaTheme="minorHAnsi"/>
      <w:b/>
      <w:caps/>
      <w:color w:val="233060"/>
      <w:sz w:val="48"/>
      <w:szCs w:val="32"/>
      <w:lang w:eastAsia="en-US"/>
    </w:rPr>
  </w:style>
  <w:style w:type="paragraph" w:customStyle="1" w:styleId="Odstavec">
    <w:name w:val="Odstavec"/>
    <w:basedOn w:val="Normln"/>
    <w:link w:val="OdstavecChar"/>
    <w:qFormat/>
    <w:rsid w:val="00286E08"/>
    <w:pPr>
      <w:spacing w:line="240" w:lineRule="auto"/>
      <w:jc w:val="both"/>
    </w:pPr>
    <w:rPr>
      <w:rFonts w:eastAsiaTheme="minorHAnsi"/>
      <w:lang w:eastAsia="en-US"/>
    </w:rPr>
  </w:style>
  <w:style w:type="character" w:customStyle="1" w:styleId="OdstavecChar">
    <w:name w:val="Odstavec Char"/>
    <w:basedOn w:val="Standardnpsmoodstavce"/>
    <w:link w:val="Odstavec"/>
    <w:rsid w:val="00286E08"/>
    <w:rPr>
      <w:rFonts w:eastAsiaTheme="minorHAnsi"/>
      <w:lang w:eastAsia="en-US"/>
    </w:rPr>
  </w:style>
  <w:style w:type="character" w:customStyle="1" w:styleId="TitulekChar">
    <w:name w:val="Titulek Char"/>
    <w:aliases w:val="Tabulky Char,Grafy Char,Obrázky Char,Přílohy Char"/>
    <w:basedOn w:val="Standardnpsmoodstavce"/>
    <w:link w:val="Titulek"/>
    <w:uiPriority w:val="35"/>
    <w:rsid w:val="00286E08"/>
    <w:rPr>
      <w:rFonts w:eastAsiaTheme="minorHAnsi"/>
      <w:b/>
      <w:bCs/>
      <w:iCs/>
      <w:color w:val="23315F" w:themeColor="accent1"/>
      <w:lang w:eastAsia="en-US"/>
    </w:rPr>
  </w:style>
  <w:style w:type="character" w:customStyle="1" w:styleId="TitulkamodrnadpisChar">
    <w:name w:val="Titulka modrý nadpis Char"/>
    <w:basedOn w:val="Standardnpsmoodstavce"/>
    <w:link w:val="Titulkamodrnadpis"/>
    <w:rsid w:val="00286E08"/>
    <w:rPr>
      <w:rFonts w:eastAsiaTheme="minorHAnsi"/>
      <w:b/>
      <w:caps/>
      <w:color w:val="233060"/>
      <w:sz w:val="48"/>
      <w:szCs w:val="32"/>
      <w:lang w:eastAsia="en-US"/>
    </w:rPr>
  </w:style>
  <w:style w:type="paragraph" w:customStyle="1" w:styleId="Titulkaervennadpis">
    <w:name w:val="Titulka červený nadpis"/>
    <w:basedOn w:val="Titulkamodrnadpis"/>
    <w:next w:val="Odstavec"/>
    <w:link w:val="TitulkaervennadpisChar"/>
    <w:qFormat/>
    <w:rsid w:val="00286E08"/>
    <w:rPr>
      <w:color w:val="E02C1F"/>
    </w:rPr>
  </w:style>
  <w:style w:type="paragraph" w:customStyle="1" w:styleId="Tirmodrtext">
    <w:name w:val="Tiráž modrý text"/>
    <w:basedOn w:val="Normln"/>
    <w:next w:val="Tirerventext"/>
    <w:link w:val="TirmodrtextChar"/>
    <w:qFormat/>
    <w:rsid w:val="00286E08"/>
    <w:pPr>
      <w:keepNext/>
      <w:tabs>
        <w:tab w:val="left" w:pos="567"/>
        <w:tab w:val="right" w:leader="dot" w:pos="10206"/>
      </w:tabs>
      <w:spacing w:before="0" w:line="240" w:lineRule="auto"/>
    </w:pPr>
    <w:rPr>
      <w:rFonts w:eastAsiaTheme="minorHAnsi"/>
      <w:b/>
      <w:color w:val="233060"/>
      <w:lang w:eastAsia="en-US"/>
    </w:rPr>
  </w:style>
  <w:style w:type="character" w:customStyle="1" w:styleId="TitulkaervennadpisChar">
    <w:name w:val="Titulka červený nadpis Char"/>
    <w:basedOn w:val="TitulkamodrnadpisChar"/>
    <w:link w:val="Titulkaervennadpis"/>
    <w:rsid w:val="00286E08"/>
    <w:rPr>
      <w:rFonts w:eastAsiaTheme="minorHAnsi"/>
      <w:b/>
      <w:caps/>
      <w:color w:val="E02C1F"/>
      <w:sz w:val="48"/>
      <w:szCs w:val="32"/>
      <w:lang w:eastAsia="en-US"/>
    </w:rPr>
  </w:style>
  <w:style w:type="character" w:customStyle="1" w:styleId="TirmodrtextChar">
    <w:name w:val="Tiráž modrý text Char"/>
    <w:basedOn w:val="Standardnpsmoodstavce"/>
    <w:link w:val="Tirmodrtext"/>
    <w:rsid w:val="00286E08"/>
    <w:rPr>
      <w:rFonts w:eastAsiaTheme="minorHAnsi"/>
      <w:b/>
      <w:color w:val="233060"/>
      <w:lang w:eastAsia="en-US"/>
    </w:rPr>
  </w:style>
  <w:style w:type="paragraph" w:customStyle="1" w:styleId="Tirerventext">
    <w:name w:val="Tiráž červený text"/>
    <w:basedOn w:val="Tirmodrtext"/>
    <w:link w:val="TirerventextChar"/>
    <w:qFormat/>
    <w:rsid w:val="00286E08"/>
    <w:rPr>
      <w:color w:val="E02C1F"/>
    </w:rPr>
  </w:style>
  <w:style w:type="character" w:customStyle="1" w:styleId="TirerventextChar">
    <w:name w:val="Tiráž červený text Char"/>
    <w:basedOn w:val="TirmodrtextChar"/>
    <w:link w:val="Tirerventext"/>
    <w:rsid w:val="00286E08"/>
    <w:rPr>
      <w:rFonts w:eastAsiaTheme="minorHAnsi"/>
      <w:b/>
      <w:color w:val="E02C1F"/>
      <w:lang w:eastAsia="en-US"/>
    </w:rPr>
  </w:style>
  <w:style w:type="paragraph" w:customStyle="1" w:styleId="Hypodkaz">
    <w:name w:val="Hyp. odkaz"/>
    <w:basedOn w:val="Normln"/>
    <w:link w:val="HypodkazChar"/>
    <w:rsid w:val="00286E08"/>
    <w:pPr>
      <w:tabs>
        <w:tab w:val="left" w:pos="1418"/>
        <w:tab w:val="right" w:leader="dot" w:pos="10206"/>
      </w:tabs>
      <w:spacing w:before="0" w:after="60" w:line="240" w:lineRule="auto"/>
    </w:pPr>
    <w:rPr>
      <w:rFonts w:eastAsiaTheme="minorHAnsi"/>
      <w:lang w:eastAsia="en-US"/>
    </w:rPr>
  </w:style>
  <w:style w:type="character" w:customStyle="1" w:styleId="HypodkazChar">
    <w:name w:val="Hyp. odkaz Char"/>
    <w:basedOn w:val="Standardnpsmoodstavce"/>
    <w:link w:val="Hypodkaz"/>
    <w:rsid w:val="00286E08"/>
    <w:rPr>
      <w:rFonts w:eastAsiaTheme="minorHAnsi"/>
      <w:lang w:eastAsia="en-US"/>
    </w:rPr>
  </w:style>
  <w:style w:type="paragraph" w:customStyle="1" w:styleId="NadpisXXXX">
    <w:name w:val="Nadpis (X.X.X.X)"/>
    <w:basedOn w:val="Normln"/>
    <w:next w:val="Odstavec"/>
    <w:qFormat/>
    <w:rsid w:val="00286E08"/>
    <w:pPr>
      <w:keepNext/>
      <w:keepLines/>
      <w:spacing w:before="480" w:line="240" w:lineRule="auto"/>
      <w:ind w:left="851" w:hanging="851"/>
    </w:pPr>
    <w:rPr>
      <w:rFonts w:eastAsiaTheme="minorHAnsi"/>
      <w:b/>
      <w:color w:val="233060"/>
      <w:lang w:eastAsia="en-US"/>
    </w:rPr>
  </w:style>
  <w:style w:type="paragraph" w:customStyle="1" w:styleId="Nadpisbezsla">
    <w:name w:val="Nadpis (bez čísla)"/>
    <w:basedOn w:val="Normln"/>
    <w:next w:val="Normln"/>
    <w:qFormat/>
    <w:rsid w:val="00286E08"/>
    <w:pPr>
      <w:keepNext/>
      <w:spacing w:before="240" w:line="240" w:lineRule="auto"/>
    </w:pPr>
    <w:rPr>
      <w:rFonts w:eastAsiaTheme="minorHAnsi"/>
      <w:b/>
      <w:color w:val="233060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07118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71182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71182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7118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71182"/>
    <w:rPr>
      <w:b/>
      <w:bCs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685617"/>
    <w:pPr>
      <w:ind w:left="720"/>
      <w:contextualSpacing/>
    </w:pPr>
  </w:style>
  <w:style w:type="paragraph" w:customStyle="1" w:styleId="Odrkyslo">
    <w:name w:val="Odrážky číslo"/>
    <w:basedOn w:val="Normln"/>
    <w:qFormat/>
    <w:rsid w:val="00685617"/>
    <w:pPr>
      <w:numPr>
        <w:numId w:val="9"/>
      </w:numPr>
      <w:spacing w:before="120" w:line="240" w:lineRule="auto"/>
      <w:ind w:left="425" w:hanging="425"/>
      <w:contextualSpacing/>
    </w:pPr>
    <w:rPr>
      <w:rFonts w:eastAsiaTheme="minorHAnsi"/>
      <w:lang w:eastAsia="en-US"/>
    </w:rPr>
  </w:style>
  <w:style w:type="paragraph" w:customStyle="1" w:styleId="Odrkypsmeno">
    <w:name w:val="Odrážky písmeno"/>
    <w:basedOn w:val="Normln"/>
    <w:qFormat/>
    <w:rsid w:val="00685617"/>
    <w:pPr>
      <w:numPr>
        <w:numId w:val="10"/>
      </w:numPr>
      <w:spacing w:before="120" w:line="240" w:lineRule="auto"/>
      <w:contextualSpacing/>
    </w:pPr>
    <w:rPr>
      <w:rFonts w:eastAsiaTheme="minorHAnsi"/>
      <w:lang w:eastAsia="en-US"/>
    </w:rPr>
  </w:style>
  <w:style w:type="character" w:styleId="Nevyeenzmnka">
    <w:name w:val="Unresolved Mention"/>
    <w:basedOn w:val="Standardnpsmoodstavce"/>
    <w:uiPriority w:val="99"/>
    <w:semiHidden/>
    <w:unhideWhenUsed/>
    <w:rsid w:val="001D568D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59"/>
    <w:rsid w:val="005806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basedOn w:val="Normln"/>
    <w:uiPriority w:val="1"/>
    <w:qFormat/>
    <w:rsid w:val="00B84FE2"/>
    <w:pPr>
      <w:spacing w:before="0" w:after="0" w:line="240" w:lineRule="auto"/>
      <w:jc w:val="both"/>
    </w:pPr>
    <w:rPr>
      <w:rFonts w:eastAsiaTheme="minorHAnsi" w:cstheme="minorBidi"/>
      <w:lang w:eastAsia="en-US"/>
    </w:rPr>
  </w:style>
  <w:style w:type="character" w:styleId="Siln">
    <w:name w:val="Strong"/>
    <w:basedOn w:val="Standardnpsmoodstavce"/>
    <w:uiPriority w:val="22"/>
    <w:qFormat/>
    <w:rsid w:val="00B1017C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DB6B9C"/>
    <w:rPr>
      <w:color w:val="E02C1F" w:themeColor="followedHyperlink"/>
      <w:u w:val="single"/>
    </w:rPr>
  </w:style>
  <w:style w:type="paragraph" w:styleId="Normlnweb">
    <w:name w:val="Normal (Web)"/>
    <w:basedOn w:val="Normln"/>
    <w:uiPriority w:val="99"/>
    <w:semiHidden/>
    <w:unhideWhenUsed/>
    <w:rsid w:val="00D17C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ze">
    <w:name w:val="Revision"/>
    <w:hidden/>
    <w:uiPriority w:val="99"/>
    <w:semiHidden/>
    <w:rsid w:val="003E7C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6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8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2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6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8238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5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630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177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422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eru.gov.cz/registr-zprostredkovatelu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eru.gov.cz/dozorova-cinnost-eru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tiskove@eru.gov.cz" TargetMode="External"/><Relationship Id="rId2" Type="http://schemas.openxmlformats.org/officeDocument/2006/relationships/hyperlink" Target="mailto:podatelna@eru.gov.cz" TargetMode="External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ebort\Desktop\20240924_TZ_vraceni_preplatku_prodej_zavodu.dotx" TargetMode="External"/></Relationships>
</file>

<file path=word/theme/theme1.xml><?xml version="1.0" encoding="utf-8"?>
<a:theme xmlns:a="http://schemas.openxmlformats.org/drawingml/2006/main" name="Motiv_ERU_220319">
  <a:themeElements>
    <a:clrScheme name="ERU">
      <a:dk1>
        <a:srgbClr val="262626"/>
      </a:dk1>
      <a:lt1>
        <a:sysClr val="window" lastClr="FFFFFF"/>
      </a:lt1>
      <a:dk2>
        <a:srgbClr val="23315F"/>
      </a:dk2>
      <a:lt2>
        <a:srgbClr val="D0D0D0"/>
      </a:lt2>
      <a:accent1>
        <a:srgbClr val="23315F"/>
      </a:accent1>
      <a:accent2>
        <a:srgbClr val="5A6588"/>
      </a:accent2>
      <a:accent3>
        <a:srgbClr val="9198B0"/>
      </a:accent3>
      <a:accent4>
        <a:srgbClr val="C8CBD7"/>
      </a:accent4>
      <a:accent5>
        <a:srgbClr val="E02C1F"/>
      </a:accent5>
      <a:accent6>
        <a:srgbClr val="E86158"/>
      </a:accent6>
      <a:hlink>
        <a:srgbClr val="0563C1"/>
      </a:hlink>
      <a:folHlink>
        <a:srgbClr val="E02C1F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Motiv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Motiv_ERU_220319" id="{5844BF3C-C1CC-4017-B07E-750FE5A171E3}" vid="{B533C786-E6FB-4737-89ED-7118B0121C64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tegorie xmlns="404656bf-f2b8-413e-853a-a7068af03b92">Spisová služba</Kategorie>
    <SharedWithUsers xmlns="f32210cd-666d-4d11-ab48-bfef9714ab3b">
      <UserInfo>
        <DisplayName>Tesař Richard Ing.</DisplayName>
        <AccountId>23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D090A6D2E6984FA965C5E78CB77039" ma:contentTypeVersion="3" ma:contentTypeDescription="Vytvořit nový dokument" ma:contentTypeScope="" ma:versionID="973eca58c073ae2600bfac7e3476526b">
  <xsd:schema xmlns:xsd="http://www.w3.org/2001/XMLSchema" xmlns:xs="http://www.w3.org/2001/XMLSchema" xmlns:p="http://schemas.microsoft.com/office/2006/metadata/properties" xmlns:ns2="404656bf-f2b8-413e-853a-a7068af03b92" xmlns:ns3="f32210cd-666d-4d11-ab48-bfef9714ab3b" targetNamespace="http://schemas.microsoft.com/office/2006/metadata/properties" ma:root="true" ma:fieldsID="e3ca6a062d3e1f598796bc6f19042af7" ns2:_="" ns3:_="">
    <xsd:import namespace="404656bf-f2b8-413e-853a-a7068af03b92"/>
    <xsd:import namespace="f32210cd-666d-4d11-ab48-bfef9714ab3b"/>
    <xsd:element name="properties">
      <xsd:complexType>
        <xsd:sequence>
          <xsd:element name="documentManagement">
            <xsd:complexType>
              <xsd:all>
                <xsd:element ref="ns2:Kategori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4656bf-f2b8-413e-853a-a7068af03b92" elementFormDefault="qualified">
    <xsd:import namespace="http://schemas.microsoft.com/office/2006/documentManagement/types"/>
    <xsd:import namespace="http://schemas.microsoft.com/office/infopath/2007/PartnerControls"/>
    <xsd:element name="Kategorie" ma:index="8" nillable="true" ma:displayName="Oblast" ma:format="RadioButtons" ma:internalName="Kategorie">
      <xsd:simpleType>
        <xsd:restriction base="dms:Choice">
          <xsd:enumeration value="Spisová služba"/>
          <xsd:enumeration value="Kontroly"/>
          <xsd:enumeration value="Majetek"/>
          <xsd:enumeration value="Finanční"/>
          <xsd:enumeration value="Personální"/>
          <xsd:enumeration value="Porady vedení a informace"/>
          <xsd:enumeration value="Pracovní cesty"/>
          <xsd:enumeration value="Stížnosti"/>
          <xsd:enumeration value="Provoz úřadu"/>
          <xsd:enumeration value="Legislativní proces"/>
          <xsd:enumeration value="Veřejné zakázky"/>
          <xsd:enumeration value="Rada ERÚ"/>
          <xsd:enumeration value="Komunikace"/>
          <xsd:enumeration value="GDPR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2210cd-666d-4d11-ab48-bfef9714ab3b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9F4872-85A1-4AEC-B827-203B6B01FE0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5447E1-6BD9-4072-923F-424EF3652C19}">
  <ds:schemaRefs>
    <ds:schemaRef ds:uri="http://schemas.microsoft.com/office/2006/metadata/properties"/>
    <ds:schemaRef ds:uri="http://schemas.microsoft.com/office/infopath/2007/PartnerControls"/>
    <ds:schemaRef ds:uri="404656bf-f2b8-413e-853a-a7068af03b92"/>
    <ds:schemaRef ds:uri="f32210cd-666d-4d11-ab48-bfef9714ab3b"/>
  </ds:schemaRefs>
</ds:datastoreItem>
</file>

<file path=customXml/itemProps3.xml><?xml version="1.0" encoding="utf-8"?>
<ds:datastoreItem xmlns:ds="http://schemas.openxmlformats.org/officeDocument/2006/customXml" ds:itemID="{4CD7065A-ECBE-4938-92F2-EB6ECF352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4656bf-f2b8-413e-853a-a7068af03b92"/>
    <ds:schemaRef ds:uri="f32210cd-666d-4d11-ab48-bfef9714ab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B1AC96B-93C9-4DD3-B5F7-3281BEB0AC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20240924_TZ_vraceni_preplatku_prodej_zavodu.dotx</Template>
  <TotalTime>17</TotalTime>
  <Pages>2</Pages>
  <Words>592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Zjednodušený dokument - Na výšku</vt:lpstr>
    </vt:vector>
  </TitlesOfParts>
  <Company>Microsoft</Company>
  <LinksUpToDate>false</LinksUpToDate>
  <CharactersWithSpaces>4082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Zjednodušený dokument - Na výšku</dc:title>
  <dc:subject/>
  <dc:creator>Kebort Michal Bc.</dc:creator>
  <cp:keywords/>
  <cp:lastModifiedBy>Hamrník Jan Mgr.</cp:lastModifiedBy>
  <cp:revision>4</cp:revision>
  <cp:lastPrinted>2025-02-05T06:33:00Z</cp:lastPrinted>
  <dcterms:created xsi:type="dcterms:W3CDTF">2025-03-04T08:27:00Z</dcterms:created>
  <dcterms:modified xsi:type="dcterms:W3CDTF">2025-03-10T06:20:00Z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0x010100F3D090A6D2E6984FA965C5E78CB77039</vt:lpwstr>
  </property>
  <property fmtid="{D5CDD505-2E9C-101B-9397-08002B2CF9AE}" pid="3" name="Kategorie">
    <vt:lpwstr>Spisová služba</vt:lpwstr>
  </property>
</Properties>
</file>