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1ADD" w14:textId="62E7FE2C" w:rsidR="00B84FE2" w:rsidRPr="00B84FE2" w:rsidRDefault="009C0B1F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Erú zjistil závažné nedostatky v obchodních podmínkách </w:t>
      </w:r>
      <w:r w:rsidR="008C5F57">
        <w:rPr>
          <w:sz w:val="28"/>
          <w:szCs w:val="28"/>
        </w:rPr>
        <w:t xml:space="preserve">některých </w:t>
      </w:r>
      <w:r>
        <w:rPr>
          <w:sz w:val="28"/>
          <w:szCs w:val="28"/>
        </w:rPr>
        <w:t xml:space="preserve">dodavatelů, hrozí jim vysoké pokuty </w:t>
      </w:r>
    </w:p>
    <w:p w14:paraId="1CB94689" w14:textId="1BA7825D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>Tisková zpráva,</w:t>
      </w:r>
      <w:r w:rsidR="00D2516A">
        <w:rPr>
          <w:lang w:eastAsia="en-US"/>
        </w:rPr>
        <w:t xml:space="preserve"> 28</w:t>
      </w:r>
      <w:r w:rsidRPr="00D2516A">
        <w:rPr>
          <w:lang w:eastAsia="en-US"/>
        </w:rPr>
        <w:t>.</w:t>
      </w:r>
      <w:r w:rsidR="00E6084E">
        <w:rPr>
          <w:lang w:eastAsia="en-US"/>
        </w:rPr>
        <w:t>01</w:t>
      </w:r>
      <w:r>
        <w:rPr>
          <w:lang w:eastAsia="en-US"/>
        </w:rPr>
        <w:t>.202</w:t>
      </w:r>
      <w:r w:rsidR="00E6084E">
        <w:rPr>
          <w:lang w:eastAsia="en-US"/>
        </w:rPr>
        <w:t>5</w:t>
      </w:r>
    </w:p>
    <w:p w14:paraId="0AD3BCBB" w14:textId="0599214C" w:rsidR="00A30AE7" w:rsidRDefault="004702BC" w:rsidP="00A30AE7">
      <w:pPr>
        <w:widowControl w:val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Energetický regulační úřad (ERÚ) provedl </w:t>
      </w:r>
      <w:r w:rsidR="002568AD">
        <w:rPr>
          <w:rFonts w:cstheme="minorHAnsi"/>
          <w:b/>
          <w:i/>
        </w:rPr>
        <w:t xml:space="preserve">rozsáhlou </w:t>
      </w:r>
      <w:r w:rsidR="008C5F57">
        <w:rPr>
          <w:rFonts w:cstheme="minorHAnsi"/>
          <w:b/>
          <w:i/>
        </w:rPr>
        <w:t>kontrolu smluvních podmínek dod</w:t>
      </w:r>
      <w:r w:rsidR="00AB32EE">
        <w:rPr>
          <w:rFonts w:cstheme="minorHAnsi"/>
          <w:b/>
          <w:i/>
        </w:rPr>
        <w:t>avatelů</w:t>
      </w:r>
      <w:r w:rsidR="008C5F57">
        <w:rPr>
          <w:rFonts w:cstheme="minorHAnsi"/>
          <w:b/>
          <w:i/>
        </w:rPr>
        <w:t xml:space="preserve">. Kompletní </w:t>
      </w:r>
      <w:r w:rsidR="00091C80">
        <w:rPr>
          <w:rFonts w:cstheme="minorHAnsi"/>
          <w:b/>
          <w:i/>
        </w:rPr>
        <w:t xml:space="preserve">povinnou dokumentaci </w:t>
      </w:r>
      <w:r w:rsidR="008C5F57">
        <w:rPr>
          <w:rFonts w:cstheme="minorHAnsi"/>
          <w:b/>
          <w:i/>
        </w:rPr>
        <w:t xml:space="preserve">nemělo </w:t>
      </w:r>
      <w:r w:rsidR="00C81907">
        <w:rPr>
          <w:rFonts w:cstheme="minorHAnsi"/>
          <w:b/>
          <w:i/>
        </w:rPr>
        <w:t xml:space="preserve">na webu </w:t>
      </w:r>
      <w:r w:rsidR="008C5F57">
        <w:rPr>
          <w:rFonts w:cstheme="minorHAnsi"/>
          <w:b/>
          <w:i/>
        </w:rPr>
        <w:t>zveřejněno 30 z 57 prověřených obchodníků</w:t>
      </w:r>
      <w:r w:rsidR="00091C80">
        <w:rPr>
          <w:rFonts w:cstheme="minorHAnsi"/>
          <w:b/>
          <w:i/>
        </w:rPr>
        <w:t xml:space="preserve">. </w:t>
      </w:r>
      <w:r w:rsidR="00D903C1">
        <w:rPr>
          <w:rFonts w:cstheme="minorHAnsi"/>
          <w:b/>
          <w:i/>
        </w:rPr>
        <w:t xml:space="preserve">Po zásahu regulátora se situace výrazně zlepšila, desítka </w:t>
      </w:r>
      <w:r w:rsidR="00091C80">
        <w:rPr>
          <w:rFonts w:cstheme="minorHAnsi"/>
          <w:b/>
          <w:i/>
        </w:rPr>
        <w:t>dodavatelů</w:t>
      </w:r>
      <w:r w:rsidR="00D903C1">
        <w:rPr>
          <w:rFonts w:cstheme="minorHAnsi"/>
          <w:b/>
          <w:i/>
        </w:rPr>
        <w:t xml:space="preserve"> ale nereagovala ani na výzvu k</w:t>
      </w:r>
      <w:r w:rsidR="00E31CD9">
        <w:rPr>
          <w:rFonts w:cstheme="minorHAnsi"/>
          <w:b/>
          <w:i/>
        </w:rPr>
        <w:t> </w:t>
      </w:r>
      <w:r w:rsidR="00D903C1">
        <w:rPr>
          <w:rFonts w:cstheme="minorHAnsi"/>
          <w:b/>
          <w:i/>
        </w:rPr>
        <w:t>nápravě</w:t>
      </w:r>
      <w:r w:rsidR="00E31CD9">
        <w:rPr>
          <w:rFonts w:cstheme="minorHAnsi"/>
          <w:b/>
          <w:i/>
        </w:rPr>
        <w:t>. V </w:t>
      </w:r>
      <w:r w:rsidR="00A655A5">
        <w:rPr>
          <w:rFonts w:cstheme="minorHAnsi"/>
          <w:b/>
          <w:i/>
        </w:rPr>
        <w:t>sedmi</w:t>
      </w:r>
      <w:r w:rsidR="00E31CD9">
        <w:rPr>
          <w:rFonts w:cstheme="minorHAnsi"/>
          <w:b/>
          <w:i/>
        </w:rPr>
        <w:t xml:space="preserve"> případech pak ERÚ v obchodních podmínkách identifikoval možné nezákonné praktiky. D</w:t>
      </w:r>
      <w:r w:rsidR="00C74E4A">
        <w:rPr>
          <w:rFonts w:cstheme="minorHAnsi"/>
          <w:b/>
          <w:i/>
        </w:rPr>
        <w:t xml:space="preserve">odavatelům za pochybení hrozí </w:t>
      </w:r>
      <w:r w:rsidR="00514FE2">
        <w:rPr>
          <w:rFonts w:cstheme="minorHAnsi"/>
          <w:b/>
          <w:i/>
        </w:rPr>
        <w:t>vysoké</w:t>
      </w:r>
      <w:bookmarkStart w:id="0" w:name="_GoBack"/>
      <w:bookmarkEnd w:id="0"/>
      <w:r w:rsidR="00E31CD9">
        <w:rPr>
          <w:rFonts w:cstheme="minorHAnsi"/>
          <w:b/>
          <w:i/>
        </w:rPr>
        <w:t xml:space="preserve"> </w:t>
      </w:r>
      <w:r w:rsidR="000B1CDC">
        <w:rPr>
          <w:rFonts w:cstheme="minorHAnsi"/>
          <w:b/>
          <w:i/>
        </w:rPr>
        <w:t>sankce</w:t>
      </w:r>
      <w:r w:rsidR="00C74E4A">
        <w:rPr>
          <w:rFonts w:cstheme="minorHAnsi"/>
          <w:b/>
          <w:i/>
        </w:rPr>
        <w:t xml:space="preserve">. </w:t>
      </w:r>
      <w:r w:rsidR="00D903C1">
        <w:rPr>
          <w:rFonts w:cstheme="minorHAnsi"/>
          <w:b/>
          <w:i/>
        </w:rPr>
        <w:t xml:space="preserve"> </w:t>
      </w:r>
    </w:p>
    <w:p w14:paraId="6D59B8CA" w14:textId="18219DA4" w:rsidR="00091C80" w:rsidRPr="00BB6653" w:rsidRDefault="00091C80" w:rsidP="00BB6653">
      <w:pPr>
        <w:pStyle w:val="Bezmezer"/>
        <w:spacing w:before="60" w:after="120"/>
        <w:rPr>
          <w:rFonts w:cstheme="minorHAnsi"/>
        </w:rPr>
      </w:pPr>
      <w:r w:rsidRPr="00091C80">
        <w:rPr>
          <w:rFonts w:cstheme="minorHAnsi"/>
        </w:rPr>
        <w:t>ERÚ v loňském roce p</w:t>
      </w:r>
      <w:r w:rsidR="002568AD">
        <w:rPr>
          <w:rFonts w:cstheme="minorHAnsi"/>
        </w:rPr>
        <w:t>r</w:t>
      </w:r>
      <w:r w:rsidRPr="00091C80">
        <w:rPr>
          <w:rFonts w:cstheme="minorHAnsi"/>
        </w:rPr>
        <w:t>ovedl</w:t>
      </w:r>
      <w:r w:rsidR="00C81907">
        <w:rPr>
          <w:rFonts w:cstheme="minorHAnsi"/>
        </w:rPr>
        <w:t xml:space="preserve"> </w:t>
      </w:r>
      <w:r w:rsidR="002568AD">
        <w:rPr>
          <w:rFonts w:cstheme="minorHAnsi"/>
        </w:rPr>
        <w:t>plošný</w:t>
      </w:r>
      <w:r w:rsidRPr="00091C80">
        <w:rPr>
          <w:rFonts w:cstheme="minorHAnsi"/>
        </w:rPr>
        <w:t xml:space="preserve"> monitoring webových stránek </w:t>
      </w:r>
      <w:r w:rsidR="00C81907">
        <w:rPr>
          <w:rFonts w:cstheme="minorHAnsi"/>
        </w:rPr>
        <w:t>jednotlivých obchodníků s elektřinou a plynem</w:t>
      </w:r>
      <w:r>
        <w:rPr>
          <w:rFonts w:cstheme="minorHAnsi"/>
        </w:rPr>
        <w:t>.</w:t>
      </w:r>
      <w:r w:rsidR="00C81907">
        <w:rPr>
          <w:rFonts w:cstheme="minorHAnsi"/>
        </w:rPr>
        <w:t xml:space="preserve"> </w:t>
      </w:r>
      <w:r w:rsidRPr="00335199">
        <w:rPr>
          <w:rFonts w:cstheme="minorHAnsi"/>
          <w:i/>
        </w:rPr>
        <w:t>„</w:t>
      </w:r>
      <w:r w:rsidR="00C81907">
        <w:rPr>
          <w:rFonts w:cstheme="minorHAnsi"/>
          <w:i/>
        </w:rPr>
        <w:t>Konkrétně jsme se z</w:t>
      </w:r>
      <w:r>
        <w:rPr>
          <w:rFonts w:cstheme="minorHAnsi"/>
          <w:i/>
        </w:rPr>
        <w:t xml:space="preserve">aměřili na smluvní podmínky, které jsou </w:t>
      </w:r>
      <w:r w:rsidR="00C81907">
        <w:rPr>
          <w:rFonts w:cstheme="minorHAnsi"/>
          <w:i/>
        </w:rPr>
        <w:t xml:space="preserve">při změně dodavatele </w:t>
      </w:r>
      <w:r>
        <w:rPr>
          <w:rFonts w:cstheme="minorHAnsi"/>
          <w:i/>
        </w:rPr>
        <w:t>stěžejním dokumentem</w:t>
      </w:r>
      <w:r w:rsidR="00C81907">
        <w:rPr>
          <w:rFonts w:cstheme="minorHAnsi"/>
          <w:i/>
        </w:rPr>
        <w:t xml:space="preserve">. </w:t>
      </w:r>
      <w:r w:rsidR="00BB6653">
        <w:rPr>
          <w:rFonts w:cstheme="minorHAnsi"/>
          <w:i/>
        </w:rPr>
        <w:t xml:space="preserve">U některých obchodníků </w:t>
      </w:r>
      <w:r w:rsidR="00C81907">
        <w:rPr>
          <w:rFonts w:cstheme="minorHAnsi"/>
          <w:i/>
        </w:rPr>
        <w:t xml:space="preserve">jsme zjistili vážné nedostatky, i proto budeme </w:t>
      </w:r>
      <w:r w:rsidR="0078205B">
        <w:rPr>
          <w:rFonts w:cstheme="minorHAnsi"/>
          <w:i/>
        </w:rPr>
        <w:t xml:space="preserve">plošné </w:t>
      </w:r>
      <w:r w:rsidR="00C81907">
        <w:rPr>
          <w:rFonts w:cstheme="minorHAnsi"/>
          <w:i/>
        </w:rPr>
        <w:t>kontrol</w:t>
      </w:r>
      <w:r w:rsidR="0078205B">
        <w:rPr>
          <w:rFonts w:cstheme="minorHAnsi"/>
          <w:i/>
        </w:rPr>
        <w:t xml:space="preserve">y </w:t>
      </w:r>
      <w:r w:rsidR="00C81907">
        <w:rPr>
          <w:rFonts w:cstheme="minorHAnsi"/>
          <w:i/>
        </w:rPr>
        <w:t xml:space="preserve">v budoucnu pravidelně opakovat,“ </w:t>
      </w:r>
      <w:r w:rsidR="00C81907">
        <w:rPr>
          <w:rFonts w:cstheme="minorHAnsi"/>
        </w:rPr>
        <w:t xml:space="preserve">říká </w:t>
      </w:r>
      <w:r w:rsidR="00C81907" w:rsidRPr="002B753C">
        <w:rPr>
          <w:rFonts w:cstheme="minorHAnsi"/>
          <w:b/>
        </w:rPr>
        <w:t>členka Rady ERÚ</w:t>
      </w:r>
      <w:r w:rsidR="00C81907">
        <w:rPr>
          <w:rFonts w:cstheme="minorHAnsi"/>
          <w:b/>
        </w:rPr>
        <w:t xml:space="preserve"> </w:t>
      </w:r>
      <w:r w:rsidR="00C81907" w:rsidRPr="002B753C">
        <w:rPr>
          <w:rFonts w:cstheme="minorHAnsi"/>
          <w:b/>
        </w:rPr>
        <w:t>Markéta Zemanová</w:t>
      </w:r>
      <w:r w:rsidR="00BB6653">
        <w:rPr>
          <w:rFonts w:cstheme="minorHAnsi"/>
          <w:i/>
        </w:rPr>
        <w:t>,</w:t>
      </w:r>
      <w:r w:rsidR="00BB6653" w:rsidRPr="00BB6653">
        <w:rPr>
          <w:rFonts w:cstheme="minorHAnsi"/>
        </w:rPr>
        <w:t xml:space="preserve"> podle níž se jedná o důležitý krok směrem ke kultivaci trhu a </w:t>
      </w:r>
      <w:r w:rsidR="008F1296">
        <w:rPr>
          <w:rFonts w:cstheme="minorHAnsi"/>
        </w:rPr>
        <w:t>ochraně zákazníků.</w:t>
      </w:r>
    </w:p>
    <w:p w14:paraId="77FC05EE" w14:textId="18C57A20" w:rsidR="000B1CDC" w:rsidRDefault="00AF5871" w:rsidP="00C74E4A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Smluvní podmínky dodávek </w:t>
      </w:r>
      <w:r w:rsidR="00BB6653">
        <w:rPr>
          <w:rFonts w:cstheme="minorHAnsi"/>
        </w:rPr>
        <w:t xml:space="preserve">energie </w:t>
      </w:r>
      <w:r>
        <w:rPr>
          <w:rFonts w:cstheme="minorHAnsi"/>
        </w:rPr>
        <w:t xml:space="preserve">obvykle </w:t>
      </w:r>
      <w:r w:rsidR="00A655A5">
        <w:rPr>
          <w:rFonts w:cstheme="minorHAnsi"/>
        </w:rPr>
        <w:t xml:space="preserve">obsahují </w:t>
      </w:r>
      <w:r>
        <w:rPr>
          <w:rFonts w:cstheme="minorHAnsi"/>
        </w:rPr>
        <w:t>formulářovou smlouv</w:t>
      </w:r>
      <w:r w:rsidR="00A655A5">
        <w:rPr>
          <w:rFonts w:cstheme="minorHAnsi"/>
        </w:rPr>
        <w:t>u</w:t>
      </w:r>
      <w:r>
        <w:rPr>
          <w:rFonts w:cstheme="minorHAnsi"/>
        </w:rPr>
        <w:t xml:space="preserve"> navrženou dodavatelem, ceník</w:t>
      </w:r>
      <w:r w:rsidR="00C74E4A">
        <w:rPr>
          <w:rFonts w:cstheme="minorHAnsi"/>
        </w:rPr>
        <w:t>, všeobecn</w:t>
      </w:r>
      <w:r w:rsidR="00A655A5">
        <w:rPr>
          <w:rFonts w:cstheme="minorHAnsi"/>
        </w:rPr>
        <w:t>é</w:t>
      </w:r>
      <w:r w:rsidR="00C74E4A">
        <w:rPr>
          <w:rFonts w:cstheme="minorHAnsi"/>
        </w:rPr>
        <w:t xml:space="preserve"> obchodní podmínk</w:t>
      </w:r>
      <w:r w:rsidR="00A655A5">
        <w:rPr>
          <w:rFonts w:cstheme="minorHAnsi"/>
        </w:rPr>
        <w:t>y</w:t>
      </w:r>
      <w:r w:rsidR="00E31CD9">
        <w:rPr>
          <w:rFonts w:cstheme="minorHAnsi"/>
        </w:rPr>
        <w:t xml:space="preserve"> (VOP)</w:t>
      </w:r>
      <w:r w:rsidR="00C74E4A">
        <w:rPr>
          <w:rFonts w:cstheme="minorHAnsi"/>
        </w:rPr>
        <w:t xml:space="preserve"> </w:t>
      </w:r>
      <w:r>
        <w:rPr>
          <w:rFonts w:cstheme="minorHAnsi"/>
        </w:rPr>
        <w:t>a někdy i zvláštní podmínk</w:t>
      </w:r>
      <w:r w:rsidR="00A655A5">
        <w:rPr>
          <w:rFonts w:cstheme="minorHAnsi"/>
        </w:rPr>
        <w:t>y</w:t>
      </w:r>
      <w:r>
        <w:rPr>
          <w:rFonts w:cstheme="minorHAnsi"/>
        </w:rPr>
        <w:t xml:space="preserve"> pro konkrétní sjednaný produkt.</w:t>
      </w:r>
      <w:r w:rsidR="00BB6653">
        <w:rPr>
          <w:rFonts w:cstheme="minorHAnsi"/>
        </w:rPr>
        <w:t xml:space="preserve"> Obchodníci je sice musí povinně zveřejňovat na svém webu, ERÚ </w:t>
      </w:r>
      <w:r w:rsidR="00C74E4A">
        <w:rPr>
          <w:rFonts w:cstheme="minorHAnsi"/>
        </w:rPr>
        <w:t>ale zjistil, že zdaleka ne všichni tak činí</w:t>
      </w:r>
      <w:r w:rsidR="00E31CD9">
        <w:rPr>
          <w:rFonts w:cstheme="minorHAnsi"/>
        </w:rPr>
        <w:t xml:space="preserve">, </w:t>
      </w:r>
      <w:r w:rsidR="0041473B">
        <w:rPr>
          <w:rFonts w:cstheme="minorHAnsi"/>
        </w:rPr>
        <w:t xml:space="preserve">a </w:t>
      </w:r>
      <w:r w:rsidR="00E31CD9">
        <w:rPr>
          <w:rFonts w:cstheme="minorHAnsi"/>
        </w:rPr>
        <w:t xml:space="preserve">že </w:t>
      </w:r>
      <w:r w:rsidR="009C0B1F">
        <w:rPr>
          <w:rFonts w:cstheme="minorHAnsi"/>
        </w:rPr>
        <w:t xml:space="preserve">znění </w:t>
      </w:r>
      <w:r w:rsidR="00E31CD9">
        <w:rPr>
          <w:rFonts w:cstheme="minorHAnsi"/>
        </w:rPr>
        <w:t>někter</w:t>
      </w:r>
      <w:r w:rsidR="009C0B1F">
        <w:rPr>
          <w:rFonts w:cstheme="minorHAnsi"/>
        </w:rPr>
        <w:t>ých</w:t>
      </w:r>
      <w:r w:rsidR="00E31CD9">
        <w:rPr>
          <w:rFonts w:cstheme="minorHAnsi"/>
        </w:rPr>
        <w:t xml:space="preserve"> VOP m</w:t>
      </w:r>
      <w:r w:rsidR="009C0B1F">
        <w:rPr>
          <w:rFonts w:cstheme="minorHAnsi"/>
        </w:rPr>
        <w:t>ůže</w:t>
      </w:r>
      <w:r w:rsidR="00E31CD9">
        <w:rPr>
          <w:rFonts w:cstheme="minorHAnsi"/>
        </w:rPr>
        <w:t xml:space="preserve"> být </w:t>
      </w:r>
      <w:r w:rsidR="009C0B1F">
        <w:rPr>
          <w:rFonts w:cstheme="minorHAnsi"/>
        </w:rPr>
        <w:t xml:space="preserve">dokonce </w:t>
      </w:r>
      <w:r w:rsidR="00E31CD9">
        <w:rPr>
          <w:rFonts w:cstheme="minorHAnsi"/>
        </w:rPr>
        <w:t xml:space="preserve">v rozporu se zákonem.  </w:t>
      </w:r>
    </w:p>
    <w:p w14:paraId="1A7C7DEA" w14:textId="63831F0D" w:rsidR="000B1CDC" w:rsidRPr="00BB1F3C" w:rsidRDefault="00257775" w:rsidP="00C74E4A">
      <w:pPr>
        <w:widowControl w:val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„Třicet </w:t>
      </w:r>
      <w:r w:rsidR="00BB1F3C">
        <w:rPr>
          <w:rFonts w:cstheme="minorHAnsi"/>
          <w:i/>
        </w:rPr>
        <w:t>z</w:t>
      </w:r>
      <w:r>
        <w:rPr>
          <w:rFonts w:cstheme="minorHAnsi"/>
          <w:i/>
        </w:rPr>
        <w:t> padesáti sedmi</w:t>
      </w:r>
      <w:r w:rsidR="009C0B1F">
        <w:rPr>
          <w:rFonts w:cstheme="minorHAnsi"/>
          <w:i/>
        </w:rPr>
        <w:t xml:space="preserve"> dodavatelů </w:t>
      </w:r>
      <w:r>
        <w:rPr>
          <w:rFonts w:cstheme="minorHAnsi"/>
          <w:i/>
        </w:rPr>
        <w:t>ne</w:t>
      </w:r>
      <w:r w:rsidR="009C0B1F">
        <w:rPr>
          <w:rFonts w:cstheme="minorHAnsi"/>
          <w:i/>
        </w:rPr>
        <w:t>měl</w:t>
      </w:r>
      <w:r>
        <w:rPr>
          <w:rFonts w:cstheme="minorHAnsi"/>
          <w:i/>
        </w:rPr>
        <w:t>o</w:t>
      </w:r>
      <w:r w:rsidR="009C0B1F">
        <w:rPr>
          <w:rFonts w:cstheme="minorHAnsi"/>
          <w:i/>
        </w:rPr>
        <w:t xml:space="preserve"> na svém webu kompletní</w:t>
      </w:r>
      <w:r w:rsidR="00207597">
        <w:rPr>
          <w:rFonts w:cstheme="minorHAnsi"/>
          <w:i/>
        </w:rPr>
        <w:t xml:space="preserve"> smluvní podmínky</w:t>
      </w:r>
      <w:r>
        <w:rPr>
          <w:rFonts w:cstheme="minorHAnsi"/>
          <w:i/>
        </w:rPr>
        <w:t>. Vyzvali jsme je, aby zákonem požadované dokumenty doplnili. Většina z oslovených následně kompletní</w:t>
      </w:r>
      <w:r w:rsidR="00207597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podmínky zveřejnila. U deseti dodavatelů, kteří svou povinnost nesplnili, jsme zahájili </w:t>
      </w:r>
      <w:r w:rsidR="0078205B">
        <w:rPr>
          <w:rFonts w:cstheme="minorHAnsi"/>
          <w:i/>
        </w:rPr>
        <w:t xml:space="preserve">individuální </w:t>
      </w:r>
      <w:r>
        <w:rPr>
          <w:rFonts w:cstheme="minorHAnsi"/>
          <w:i/>
        </w:rPr>
        <w:t xml:space="preserve">kontrolu. U dalších sedmi </w:t>
      </w:r>
      <w:r w:rsidR="0041473B">
        <w:rPr>
          <w:rFonts w:cstheme="minorHAnsi"/>
          <w:i/>
        </w:rPr>
        <w:t xml:space="preserve">máme </w:t>
      </w:r>
      <w:r>
        <w:rPr>
          <w:rFonts w:cstheme="minorHAnsi"/>
          <w:i/>
        </w:rPr>
        <w:t xml:space="preserve">navíc podezření, že smluvní podmínky odporují zákonu. </w:t>
      </w:r>
      <w:r w:rsidR="0041473B">
        <w:rPr>
          <w:rFonts w:cstheme="minorHAnsi"/>
          <w:i/>
        </w:rPr>
        <w:t>N</w:t>
      </w:r>
      <w:r>
        <w:rPr>
          <w:rFonts w:cstheme="minorHAnsi"/>
          <w:i/>
        </w:rPr>
        <w:t xml:space="preserve">a ně se proto </w:t>
      </w:r>
      <w:r w:rsidR="0078205B">
        <w:rPr>
          <w:rFonts w:cstheme="minorHAnsi"/>
          <w:i/>
        </w:rPr>
        <w:t xml:space="preserve">také </w:t>
      </w:r>
      <w:r>
        <w:rPr>
          <w:rFonts w:cstheme="minorHAnsi"/>
          <w:i/>
        </w:rPr>
        <w:t xml:space="preserve">zaměřila </w:t>
      </w:r>
      <w:r w:rsidR="00335199">
        <w:rPr>
          <w:rFonts w:cstheme="minorHAnsi"/>
          <w:i/>
        </w:rPr>
        <w:t xml:space="preserve">naše </w:t>
      </w:r>
      <w:r>
        <w:rPr>
          <w:rFonts w:cstheme="minorHAnsi"/>
          <w:i/>
        </w:rPr>
        <w:t xml:space="preserve">kontrola,“ </w:t>
      </w:r>
      <w:r w:rsidR="00BB1F3C">
        <w:rPr>
          <w:rFonts w:cstheme="minorHAnsi"/>
        </w:rPr>
        <w:t>shrnuje</w:t>
      </w:r>
      <w:r w:rsidR="002B753C">
        <w:rPr>
          <w:rFonts w:cstheme="minorHAnsi"/>
        </w:rPr>
        <w:t xml:space="preserve"> </w:t>
      </w:r>
      <w:r w:rsidR="002B753C" w:rsidRPr="002B753C">
        <w:rPr>
          <w:rFonts w:cstheme="minorHAnsi"/>
          <w:b/>
        </w:rPr>
        <w:t>členka Rady ERÚ</w:t>
      </w:r>
      <w:r w:rsidR="00BB1F3C">
        <w:rPr>
          <w:rFonts w:cstheme="minorHAnsi"/>
          <w:b/>
        </w:rPr>
        <w:t xml:space="preserve"> </w:t>
      </w:r>
      <w:r w:rsidR="00BB1F3C" w:rsidRPr="002B753C">
        <w:rPr>
          <w:rFonts w:cstheme="minorHAnsi"/>
          <w:b/>
        </w:rPr>
        <w:t>Markéta Zemanová</w:t>
      </w:r>
      <w:r w:rsidR="00BB1F3C">
        <w:rPr>
          <w:rFonts w:cstheme="minorHAnsi"/>
          <w:b/>
        </w:rPr>
        <w:t xml:space="preserve">, </w:t>
      </w:r>
      <w:r w:rsidR="00BB1F3C" w:rsidRPr="00BB1F3C">
        <w:rPr>
          <w:rFonts w:cstheme="minorHAnsi"/>
        </w:rPr>
        <w:t>a doplňuje konkrétní</w:t>
      </w:r>
      <w:r w:rsidR="00BB1F3C">
        <w:rPr>
          <w:rFonts w:cstheme="minorHAnsi"/>
          <w:b/>
        </w:rPr>
        <w:t xml:space="preserve"> </w:t>
      </w:r>
      <w:r w:rsidR="00BB1F3C" w:rsidRPr="00BB1F3C">
        <w:rPr>
          <w:rFonts w:cstheme="minorHAnsi"/>
        </w:rPr>
        <w:t>příklady</w:t>
      </w:r>
      <w:r w:rsidR="00BB1F3C">
        <w:rPr>
          <w:rFonts w:cstheme="minorHAnsi"/>
        </w:rPr>
        <w:t xml:space="preserve"> </w:t>
      </w:r>
      <w:r w:rsidR="004F285B">
        <w:rPr>
          <w:rFonts w:cstheme="minorHAnsi"/>
        </w:rPr>
        <w:t xml:space="preserve">takových </w:t>
      </w:r>
      <w:r w:rsidR="00BB1F3C">
        <w:rPr>
          <w:rFonts w:cstheme="minorHAnsi"/>
        </w:rPr>
        <w:t xml:space="preserve">praktik: </w:t>
      </w:r>
      <w:r w:rsidR="00BB1F3C" w:rsidRPr="00BB1F3C">
        <w:rPr>
          <w:rFonts w:cstheme="minorHAnsi"/>
        </w:rPr>
        <w:t xml:space="preserve"> </w:t>
      </w:r>
    </w:p>
    <w:p w14:paraId="34F736A0" w14:textId="77777777" w:rsidR="00502CF9" w:rsidRDefault="00BB1F3C" w:rsidP="00502CF9">
      <w:pPr>
        <w:widowControl w:val="0"/>
        <w:jc w:val="both"/>
        <w:rPr>
          <w:rFonts w:cstheme="minorHAnsi"/>
          <w:i/>
        </w:rPr>
      </w:pPr>
      <w:r w:rsidRPr="00306CA4">
        <w:rPr>
          <w:rFonts w:cstheme="minorHAnsi"/>
          <w:i/>
        </w:rPr>
        <w:t xml:space="preserve">„Přestože zákon dává spotřebitelům konkrétní lhůtu pro odmítnutí tzv. automatické prolongace, tedy automatického prodloužení smlouvy na dobu určitou, narazili jsme v obchodních podmínkách na lhůtu kratší. Dodavatelé </w:t>
      </w:r>
      <w:r w:rsidR="00306CA4" w:rsidRPr="00306CA4">
        <w:rPr>
          <w:rFonts w:cstheme="minorHAnsi"/>
          <w:i/>
        </w:rPr>
        <w:t xml:space="preserve">si také rozšiřují možnosti pro jednostrannou změnu smlouvy a ceníku na pouhé oznámení na webu, přestože ji podle zákona musí spotřebiteli oznámit prokazatelně a adresně. Další rozšiřování se týká důvodů pro odstoupení od smlouvy ze strany dodavatele.“   </w:t>
      </w:r>
    </w:p>
    <w:p w14:paraId="0AF76FF2" w14:textId="5EB628BF" w:rsidR="00227966" w:rsidRDefault="00502CF9" w:rsidP="00502CF9">
      <w:pPr>
        <w:widowControl w:val="0"/>
        <w:jc w:val="both"/>
        <w:rPr>
          <w:rFonts w:cstheme="minorHAnsi"/>
        </w:rPr>
      </w:pPr>
      <w:r>
        <w:rPr>
          <w:rFonts w:cstheme="minorHAnsi"/>
        </w:rPr>
        <w:t>V souvislosti s</w:t>
      </w:r>
      <w:r w:rsidR="002568AD">
        <w:rPr>
          <w:rFonts w:cstheme="minorHAnsi"/>
        </w:rPr>
        <w:t xml:space="preserve">e smluvními podmínkami se </w:t>
      </w:r>
      <w:r>
        <w:rPr>
          <w:rFonts w:cstheme="minorHAnsi"/>
        </w:rPr>
        <w:t xml:space="preserve">ERÚ </w:t>
      </w:r>
      <w:r w:rsidR="002568AD">
        <w:rPr>
          <w:rFonts w:cstheme="minorHAnsi"/>
        </w:rPr>
        <w:t xml:space="preserve">zabývá </w:t>
      </w:r>
      <w:r>
        <w:rPr>
          <w:rFonts w:cstheme="minorHAnsi"/>
        </w:rPr>
        <w:t>i další</w:t>
      </w:r>
      <w:r w:rsidR="002568AD">
        <w:rPr>
          <w:rFonts w:cstheme="minorHAnsi"/>
        </w:rPr>
        <w:t>mi</w:t>
      </w:r>
      <w:r>
        <w:rPr>
          <w:rFonts w:cstheme="minorHAnsi"/>
        </w:rPr>
        <w:t xml:space="preserve"> </w:t>
      </w:r>
      <w:r w:rsidR="00CE3663">
        <w:rPr>
          <w:rFonts w:cstheme="minorHAnsi"/>
        </w:rPr>
        <w:t>aspekty, které spotřebitelům ztěžují jejich porozumění</w:t>
      </w:r>
      <w:r w:rsidR="002568AD">
        <w:rPr>
          <w:rFonts w:cstheme="minorHAnsi"/>
        </w:rPr>
        <w:t xml:space="preserve">. Nemusí přitom jít </w:t>
      </w:r>
      <w:r w:rsidR="00CE3663">
        <w:rPr>
          <w:rFonts w:cstheme="minorHAnsi"/>
        </w:rPr>
        <w:t xml:space="preserve">o přímé porušení zákona. V </w:t>
      </w:r>
      <w:r w:rsidR="002568AD">
        <w:rPr>
          <w:rFonts w:cstheme="minorHAnsi"/>
        </w:rPr>
        <w:t>některých</w:t>
      </w:r>
      <w:r w:rsidR="00CE3663">
        <w:rPr>
          <w:rFonts w:cstheme="minorHAnsi"/>
        </w:rPr>
        <w:t xml:space="preserve"> případ</w:t>
      </w:r>
      <w:r w:rsidR="002568AD">
        <w:rPr>
          <w:rFonts w:cstheme="minorHAnsi"/>
        </w:rPr>
        <w:t>ech</w:t>
      </w:r>
      <w:r w:rsidR="00CE3663">
        <w:rPr>
          <w:rFonts w:cstheme="minorHAnsi"/>
        </w:rPr>
        <w:t xml:space="preserve"> jsou obchodní podmínky napsané tak složitě, že pro běžné spotřebitele jsou jen těžko pochopitelné. </w:t>
      </w:r>
      <w:r w:rsidR="00227966">
        <w:rPr>
          <w:rFonts w:cstheme="minorHAnsi"/>
        </w:rPr>
        <w:t>Poměrně často se naopak ve VOP objevují (a leckdy skrytě) podstatná ujednání, která by podle názoru regulátora měla figurovat v hlavní smlouvě</w:t>
      </w:r>
      <w:r w:rsidR="002568AD">
        <w:rPr>
          <w:rFonts w:cstheme="minorHAnsi"/>
        </w:rPr>
        <w:t>.</w:t>
      </w:r>
      <w:r w:rsidR="00227966">
        <w:rPr>
          <w:rFonts w:cstheme="minorHAnsi"/>
        </w:rPr>
        <w:t xml:space="preserve"> Typicky se jedná o </w:t>
      </w:r>
      <w:r w:rsidR="002568AD">
        <w:rPr>
          <w:rFonts w:cstheme="minorHAnsi"/>
        </w:rPr>
        <w:t>ujednání</w:t>
      </w:r>
      <w:r w:rsidR="00227966">
        <w:rPr>
          <w:rFonts w:cstheme="minorHAnsi"/>
        </w:rPr>
        <w:t xml:space="preserve"> </w:t>
      </w:r>
      <w:r w:rsidR="002C2735">
        <w:rPr>
          <w:rFonts w:cstheme="minorHAnsi"/>
        </w:rPr>
        <w:t>o automatické prolongaci smlouvy</w:t>
      </w:r>
      <w:r w:rsidR="00A655A5">
        <w:rPr>
          <w:rFonts w:cstheme="minorHAnsi"/>
        </w:rPr>
        <w:t xml:space="preserve">. </w:t>
      </w:r>
      <w:r w:rsidR="00AF3A7C">
        <w:rPr>
          <w:rFonts w:cstheme="minorHAnsi"/>
        </w:rPr>
        <w:t>Často ve smlouvě chybí</w:t>
      </w:r>
      <w:r w:rsidR="002568AD">
        <w:rPr>
          <w:rFonts w:cstheme="minorHAnsi"/>
        </w:rPr>
        <w:t xml:space="preserve"> údaj</w:t>
      </w:r>
      <w:r w:rsidR="00AF3A7C">
        <w:rPr>
          <w:rFonts w:cstheme="minorHAnsi"/>
        </w:rPr>
        <w:t xml:space="preserve">, z něhož by zákazník alespoň rámcově dovodil, kdy bude dodávka zahájena. </w:t>
      </w:r>
    </w:p>
    <w:p w14:paraId="0947098B" w14:textId="2603284E" w:rsidR="00335199" w:rsidRDefault="00335199" w:rsidP="00AE1652">
      <w:pPr>
        <w:pStyle w:val="Bezmezer"/>
        <w:spacing w:before="60" w:after="120"/>
        <w:rPr>
          <w:rFonts w:cstheme="minorHAnsi"/>
          <w:b/>
        </w:rPr>
      </w:pPr>
    </w:p>
    <w:sectPr w:rsidR="00335199" w:rsidSect="00B84FE2">
      <w:headerReference w:type="default" r:id="rId13"/>
      <w:footerReference w:type="default" r:id="rId14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BCFB" w14:textId="77777777" w:rsidR="000917F3" w:rsidRDefault="000917F3" w:rsidP="006928DE">
      <w:pPr>
        <w:spacing w:after="0" w:line="240" w:lineRule="auto"/>
      </w:pPr>
      <w:r>
        <w:separator/>
      </w:r>
    </w:p>
    <w:p w14:paraId="5794EF61" w14:textId="77777777" w:rsidR="000917F3" w:rsidRDefault="000917F3"/>
  </w:endnote>
  <w:endnote w:type="continuationSeparator" w:id="0">
    <w:p w14:paraId="0FEED9BB" w14:textId="77777777" w:rsidR="000917F3" w:rsidRDefault="000917F3" w:rsidP="006928DE">
      <w:pPr>
        <w:spacing w:after="0" w:line="240" w:lineRule="auto"/>
      </w:pPr>
      <w:r>
        <w:continuationSeparator/>
      </w:r>
    </w:p>
    <w:p w14:paraId="59239CA5" w14:textId="77777777" w:rsidR="000917F3" w:rsidRDefault="00091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47C9F596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5EDC47F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0A08F637" wp14:editId="14DA40D9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3C24E9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104E9C2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32C84F3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4993D7C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433E7A54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29DF64D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A2C74C7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1688ECF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1DF8283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542C5179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2739F1F9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4EE7CD8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DC43B7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5C29F70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50F6CD97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6D5219B9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7504A84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EB9CA25" w14:textId="77777777" w:rsidR="00B84FE2" w:rsidRPr="003F04A5" w:rsidRDefault="000917F3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488CD99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5E834745" w14:textId="77777777" w:rsidR="00B84FE2" w:rsidRPr="003F04A5" w:rsidRDefault="000917F3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795F07D8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1B1D17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DBE3E8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267117D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5BAC3AF7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01704544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4DBCDBC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149753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5A233AE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4970A3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4B1DEE49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6DE94" w14:textId="77777777" w:rsidR="00B84FE2" w:rsidRDefault="00B84FE2" w:rsidP="00B84FE2">
    <w:pPr>
      <w:pStyle w:val="Zpat"/>
    </w:pPr>
  </w:p>
  <w:p w14:paraId="2F459C39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9E76" w14:textId="77777777" w:rsidR="000917F3" w:rsidRDefault="000917F3" w:rsidP="006928DE">
      <w:pPr>
        <w:spacing w:after="0" w:line="240" w:lineRule="auto"/>
      </w:pPr>
      <w:r>
        <w:separator/>
      </w:r>
    </w:p>
    <w:p w14:paraId="29D31A9E" w14:textId="77777777" w:rsidR="000917F3" w:rsidRDefault="000917F3"/>
  </w:footnote>
  <w:footnote w:type="continuationSeparator" w:id="0">
    <w:p w14:paraId="75E9DDC9" w14:textId="77777777" w:rsidR="000917F3" w:rsidRDefault="000917F3" w:rsidP="006928DE">
      <w:pPr>
        <w:spacing w:after="0" w:line="240" w:lineRule="auto"/>
      </w:pPr>
      <w:r>
        <w:continuationSeparator/>
      </w:r>
    </w:p>
    <w:p w14:paraId="27EE4DD9" w14:textId="77777777" w:rsidR="000917F3" w:rsidRDefault="00091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CFF2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0FC30897" wp14:editId="482D39A3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0184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5pt;height:6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1107C"/>
    <w:rsid w:val="00012AD9"/>
    <w:rsid w:val="0001541E"/>
    <w:rsid w:val="000218CC"/>
    <w:rsid w:val="000331BF"/>
    <w:rsid w:val="00042710"/>
    <w:rsid w:val="00045824"/>
    <w:rsid w:val="00047AC2"/>
    <w:rsid w:val="000508BF"/>
    <w:rsid w:val="00051C7F"/>
    <w:rsid w:val="000571CB"/>
    <w:rsid w:val="000650B6"/>
    <w:rsid w:val="00067EC9"/>
    <w:rsid w:val="00071182"/>
    <w:rsid w:val="00072105"/>
    <w:rsid w:val="00075E41"/>
    <w:rsid w:val="0008406D"/>
    <w:rsid w:val="00085D46"/>
    <w:rsid w:val="00087A8B"/>
    <w:rsid w:val="000917F3"/>
    <w:rsid w:val="00091C80"/>
    <w:rsid w:val="000A084F"/>
    <w:rsid w:val="000B1CDC"/>
    <w:rsid w:val="000C173C"/>
    <w:rsid w:val="000C616C"/>
    <w:rsid w:val="000D6B86"/>
    <w:rsid w:val="000F5202"/>
    <w:rsid w:val="000F75D7"/>
    <w:rsid w:val="000F7C3A"/>
    <w:rsid w:val="001031B7"/>
    <w:rsid w:val="00104721"/>
    <w:rsid w:val="00107692"/>
    <w:rsid w:val="00111118"/>
    <w:rsid w:val="00114B4B"/>
    <w:rsid w:val="001211F8"/>
    <w:rsid w:val="001335DD"/>
    <w:rsid w:val="001336B6"/>
    <w:rsid w:val="00134803"/>
    <w:rsid w:val="00135878"/>
    <w:rsid w:val="00136F3D"/>
    <w:rsid w:val="00142183"/>
    <w:rsid w:val="00145076"/>
    <w:rsid w:val="00145122"/>
    <w:rsid w:val="00145FAB"/>
    <w:rsid w:val="001543AC"/>
    <w:rsid w:val="00166498"/>
    <w:rsid w:val="001732A2"/>
    <w:rsid w:val="00177350"/>
    <w:rsid w:val="0018545A"/>
    <w:rsid w:val="00192873"/>
    <w:rsid w:val="00193AA8"/>
    <w:rsid w:val="001A518B"/>
    <w:rsid w:val="001B0634"/>
    <w:rsid w:val="001B0E86"/>
    <w:rsid w:val="001B2626"/>
    <w:rsid w:val="001B5017"/>
    <w:rsid w:val="001B5B5F"/>
    <w:rsid w:val="001C2B90"/>
    <w:rsid w:val="001C2BE8"/>
    <w:rsid w:val="001C6B94"/>
    <w:rsid w:val="001D568D"/>
    <w:rsid w:val="001F51D6"/>
    <w:rsid w:val="00205AEB"/>
    <w:rsid w:val="00207597"/>
    <w:rsid w:val="0022055E"/>
    <w:rsid w:val="00225848"/>
    <w:rsid w:val="00225DEF"/>
    <w:rsid w:val="00226D87"/>
    <w:rsid w:val="00227765"/>
    <w:rsid w:val="00227966"/>
    <w:rsid w:val="00232B14"/>
    <w:rsid w:val="00237988"/>
    <w:rsid w:val="00242552"/>
    <w:rsid w:val="002431F5"/>
    <w:rsid w:val="0024794B"/>
    <w:rsid w:val="0025253A"/>
    <w:rsid w:val="002568AD"/>
    <w:rsid w:val="002573E8"/>
    <w:rsid w:val="00257775"/>
    <w:rsid w:val="00257C8F"/>
    <w:rsid w:val="00261550"/>
    <w:rsid w:val="002622B5"/>
    <w:rsid w:val="0027040D"/>
    <w:rsid w:val="0027149D"/>
    <w:rsid w:val="00285DA6"/>
    <w:rsid w:val="00286E08"/>
    <w:rsid w:val="0029689D"/>
    <w:rsid w:val="002B064F"/>
    <w:rsid w:val="002B351D"/>
    <w:rsid w:val="002B671C"/>
    <w:rsid w:val="002B682A"/>
    <w:rsid w:val="002B753C"/>
    <w:rsid w:val="002C2735"/>
    <w:rsid w:val="002C42C1"/>
    <w:rsid w:val="002D0AB8"/>
    <w:rsid w:val="002F245E"/>
    <w:rsid w:val="00301528"/>
    <w:rsid w:val="00306CA4"/>
    <w:rsid w:val="0030742A"/>
    <w:rsid w:val="00323EDA"/>
    <w:rsid w:val="00332C3A"/>
    <w:rsid w:val="00334280"/>
    <w:rsid w:val="0033462F"/>
    <w:rsid w:val="00335199"/>
    <w:rsid w:val="00350655"/>
    <w:rsid w:val="003521BD"/>
    <w:rsid w:val="0035244C"/>
    <w:rsid w:val="00352DFA"/>
    <w:rsid w:val="00355AB0"/>
    <w:rsid w:val="003615D5"/>
    <w:rsid w:val="00371634"/>
    <w:rsid w:val="00373FE6"/>
    <w:rsid w:val="003822B9"/>
    <w:rsid w:val="0039125C"/>
    <w:rsid w:val="003940A8"/>
    <w:rsid w:val="0039410F"/>
    <w:rsid w:val="00396549"/>
    <w:rsid w:val="003976BB"/>
    <w:rsid w:val="003B79F6"/>
    <w:rsid w:val="003C1370"/>
    <w:rsid w:val="003C59C1"/>
    <w:rsid w:val="003D123E"/>
    <w:rsid w:val="003D2ABB"/>
    <w:rsid w:val="003D4FB1"/>
    <w:rsid w:val="003D68A7"/>
    <w:rsid w:val="003E5378"/>
    <w:rsid w:val="003F00F7"/>
    <w:rsid w:val="003F04A5"/>
    <w:rsid w:val="004053E5"/>
    <w:rsid w:val="00405DD1"/>
    <w:rsid w:val="00411947"/>
    <w:rsid w:val="0041473B"/>
    <w:rsid w:val="0041575C"/>
    <w:rsid w:val="00415E5E"/>
    <w:rsid w:val="0042315C"/>
    <w:rsid w:val="00432954"/>
    <w:rsid w:val="00441A0B"/>
    <w:rsid w:val="004702BC"/>
    <w:rsid w:val="004736D9"/>
    <w:rsid w:val="00476642"/>
    <w:rsid w:val="00483BAC"/>
    <w:rsid w:val="0048708C"/>
    <w:rsid w:val="00490B54"/>
    <w:rsid w:val="004B5667"/>
    <w:rsid w:val="004C17C1"/>
    <w:rsid w:val="004C2271"/>
    <w:rsid w:val="004D1A6B"/>
    <w:rsid w:val="004D27B7"/>
    <w:rsid w:val="004D2C82"/>
    <w:rsid w:val="004E7AE6"/>
    <w:rsid w:val="004F285B"/>
    <w:rsid w:val="004F3140"/>
    <w:rsid w:val="004F5CD5"/>
    <w:rsid w:val="005019F6"/>
    <w:rsid w:val="00502CF9"/>
    <w:rsid w:val="00507C35"/>
    <w:rsid w:val="00510576"/>
    <w:rsid w:val="005137D1"/>
    <w:rsid w:val="00514FE2"/>
    <w:rsid w:val="0052077C"/>
    <w:rsid w:val="00526D10"/>
    <w:rsid w:val="005309C8"/>
    <w:rsid w:val="00531E13"/>
    <w:rsid w:val="00535284"/>
    <w:rsid w:val="00551794"/>
    <w:rsid w:val="00555C48"/>
    <w:rsid w:val="005640BC"/>
    <w:rsid w:val="00570E2C"/>
    <w:rsid w:val="00570EB7"/>
    <w:rsid w:val="005715D0"/>
    <w:rsid w:val="00573217"/>
    <w:rsid w:val="005806CD"/>
    <w:rsid w:val="00590B03"/>
    <w:rsid w:val="00591529"/>
    <w:rsid w:val="0059336A"/>
    <w:rsid w:val="005B10C2"/>
    <w:rsid w:val="005C01B7"/>
    <w:rsid w:val="005D5F4D"/>
    <w:rsid w:val="005D6010"/>
    <w:rsid w:val="005D6096"/>
    <w:rsid w:val="005E7A32"/>
    <w:rsid w:val="00600FA7"/>
    <w:rsid w:val="0060627D"/>
    <w:rsid w:val="00613148"/>
    <w:rsid w:val="00616772"/>
    <w:rsid w:val="00626B39"/>
    <w:rsid w:val="00653A74"/>
    <w:rsid w:val="00655B6D"/>
    <w:rsid w:val="00685617"/>
    <w:rsid w:val="006928DE"/>
    <w:rsid w:val="00695C15"/>
    <w:rsid w:val="006A2F62"/>
    <w:rsid w:val="006A54FA"/>
    <w:rsid w:val="006A7D9E"/>
    <w:rsid w:val="006C306F"/>
    <w:rsid w:val="006C5D01"/>
    <w:rsid w:val="006C72BB"/>
    <w:rsid w:val="006D3FFE"/>
    <w:rsid w:val="006D5FE2"/>
    <w:rsid w:val="006D6A1E"/>
    <w:rsid w:val="006E71F3"/>
    <w:rsid w:val="006F2BAD"/>
    <w:rsid w:val="00707C91"/>
    <w:rsid w:val="0071179F"/>
    <w:rsid w:val="00720880"/>
    <w:rsid w:val="00721FB1"/>
    <w:rsid w:val="00722104"/>
    <w:rsid w:val="00732957"/>
    <w:rsid w:val="00743676"/>
    <w:rsid w:val="00743FFD"/>
    <w:rsid w:val="00750A3E"/>
    <w:rsid w:val="00750CB9"/>
    <w:rsid w:val="00760BF7"/>
    <w:rsid w:val="007768E9"/>
    <w:rsid w:val="0078205B"/>
    <w:rsid w:val="00785109"/>
    <w:rsid w:val="007918ED"/>
    <w:rsid w:val="007A3624"/>
    <w:rsid w:val="007B178E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50F6"/>
    <w:rsid w:val="00824B9D"/>
    <w:rsid w:val="008262E9"/>
    <w:rsid w:val="008407F1"/>
    <w:rsid w:val="00843945"/>
    <w:rsid w:val="008565E2"/>
    <w:rsid w:val="008752BD"/>
    <w:rsid w:val="0087698D"/>
    <w:rsid w:val="00883CB7"/>
    <w:rsid w:val="00887234"/>
    <w:rsid w:val="00893114"/>
    <w:rsid w:val="00897DD6"/>
    <w:rsid w:val="008A5083"/>
    <w:rsid w:val="008C1818"/>
    <w:rsid w:val="008C5F57"/>
    <w:rsid w:val="008C72AD"/>
    <w:rsid w:val="008C7AD8"/>
    <w:rsid w:val="008E62D6"/>
    <w:rsid w:val="008F1296"/>
    <w:rsid w:val="008F1BBF"/>
    <w:rsid w:val="00900430"/>
    <w:rsid w:val="00921AC9"/>
    <w:rsid w:val="009221D7"/>
    <w:rsid w:val="00927A04"/>
    <w:rsid w:val="0094008A"/>
    <w:rsid w:val="00941E72"/>
    <w:rsid w:val="00951B34"/>
    <w:rsid w:val="0096064A"/>
    <w:rsid w:val="00966945"/>
    <w:rsid w:val="009677FD"/>
    <w:rsid w:val="00967F08"/>
    <w:rsid w:val="00967F45"/>
    <w:rsid w:val="009721DE"/>
    <w:rsid w:val="009725E7"/>
    <w:rsid w:val="00976DDC"/>
    <w:rsid w:val="00985FCB"/>
    <w:rsid w:val="0098709F"/>
    <w:rsid w:val="00992336"/>
    <w:rsid w:val="00996E3A"/>
    <w:rsid w:val="009A6B6C"/>
    <w:rsid w:val="009A6EB8"/>
    <w:rsid w:val="009B7E1F"/>
    <w:rsid w:val="009C0B1F"/>
    <w:rsid w:val="009C2998"/>
    <w:rsid w:val="009C7AA4"/>
    <w:rsid w:val="009D2B07"/>
    <w:rsid w:val="009D7BD4"/>
    <w:rsid w:val="009E259B"/>
    <w:rsid w:val="009E4FD9"/>
    <w:rsid w:val="009E65A9"/>
    <w:rsid w:val="009F0FAF"/>
    <w:rsid w:val="009F25F5"/>
    <w:rsid w:val="009F3DF7"/>
    <w:rsid w:val="009F3EE7"/>
    <w:rsid w:val="009F7590"/>
    <w:rsid w:val="00A02D62"/>
    <w:rsid w:val="00A115A8"/>
    <w:rsid w:val="00A30AE7"/>
    <w:rsid w:val="00A36EF8"/>
    <w:rsid w:val="00A411B5"/>
    <w:rsid w:val="00A43674"/>
    <w:rsid w:val="00A5082B"/>
    <w:rsid w:val="00A55E42"/>
    <w:rsid w:val="00A65443"/>
    <w:rsid w:val="00A655A5"/>
    <w:rsid w:val="00A65E6B"/>
    <w:rsid w:val="00A66974"/>
    <w:rsid w:val="00A73BA0"/>
    <w:rsid w:val="00A82E10"/>
    <w:rsid w:val="00A83DC3"/>
    <w:rsid w:val="00A83E3E"/>
    <w:rsid w:val="00A90649"/>
    <w:rsid w:val="00A927BE"/>
    <w:rsid w:val="00A97F12"/>
    <w:rsid w:val="00AA557B"/>
    <w:rsid w:val="00AB1251"/>
    <w:rsid w:val="00AB31DB"/>
    <w:rsid w:val="00AB32EE"/>
    <w:rsid w:val="00AC7773"/>
    <w:rsid w:val="00AD3BEB"/>
    <w:rsid w:val="00AE1652"/>
    <w:rsid w:val="00AE2DAC"/>
    <w:rsid w:val="00AE6AFB"/>
    <w:rsid w:val="00AF3A7C"/>
    <w:rsid w:val="00AF3AE5"/>
    <w:rsid w:val="00AF4083"/>
    <w:rsid w:val="00AF5871"/>
    <w:rsid w:val="00B0005F"/>
    <w:rsid w:val="00B1017C"/>
    <w:rsid w:val="00B130C4"/>
    <w:rsid w:val="00B14B69"/>
    <w:rsid w:val="00B15811"/>
    <w:rsid w:val="00B200DD"/>
    <w:rsid w:val="00B30F9B"/>
    <w:rsid w:val="00B361AC"/>
    <w:rsid w:val="00B43E2B"/>
    <w:rsid w:val="00B4642D"/>
    <w:rsid w:val="00B50411"/>
    <w:rsid w:val="00B52210"/>
    <w:rsid w:val="00B66A2B"/>
    <w:rsid w:val="00B67FBD"/>
    <w:rsid w:val="00B77963"/>
    <w:rsid w:val="00B84FE2"/>
    <w:rsid w:val="00B87185"/>
    <w:rsid w:val="00B87CD7"/>
    <w:rsid w:val="00BA1071"/>
    <w:rsid w:val="00BB1F3C"/>
    <w:rsid w:val="00BB532D"/>
    <w:rsid w:val="00BB6653"/>
    <w:rsid w:val="00BD47DA"/>
    <w:rsid w:val="00BD646A"/>
    <w:rsid w:val="00BF757E"/>
    <w:rsid w:val="00BF7DEB"/>
    <w:rsid w:val="00C03ACE"/>
    <w:rsid w:val="00C15057"/>
    <w:rsid w:val="00C1737E"/>
    <w:rsid w:val="00C223D9"/>
    <w:rsid w:val="00C22ED6"/>
    <w:rsid w:val="00C25365"/>
    <w:rsid w:val="00C255DC"/>
    <w:rsid w:val="00C346AA"/>
    <w:rsid w:val="00C34956"/>
    <w:rsid w:val="00C40A7C"/>
    <w:rsid w:val="00C40DFC"/>
    <w:rsid w:val="00C42995"/>
    <w:rsid w:val="00C4433F"/>
    <w:rsid w:val="00C55B5D"/>
    <w:rsid w:val="00C604C6"/>
    <w:rsid w:val="00C656B4"/>
    <w:rsid w:val="00C74E4A"/>
    <w:rsid w:val="00C76ADB"/>
    <w:rsid w:val="00C81907"/>
    <w:rsid w:val="00CA5051"/>
    <w:rsid w:val="00CA6686"/>
    <w:rsid w:val="00CA7A70"/>
    <w:rsid w:val="00CB5C16"/>
    <w:rsid w:val="00CC1122"/>
    <w:rsid w:val="00CC457F"/>
    <w:rsid w:val="00CC4D9F"/>
    <w:rsid w:val="00CD6214"/>
    <w:rsid w:val="00CD7553"/>
    <w:rsid w:val="00CE3663"/>
    <w:rsid w:val="00CF2367"/>
    <w:rsid w:val="00CF385D"/>
    <w:rsid w:val="00CF4679"/>
    <w:rsid w:val="00CF588E"/>
    <w:rsid w:val="00D149C4"/>
    <w:rsid w:val="00D176C0"/>
    <w:rsid w:val="00D17CBD"/>
    <w:rsid w:val="00D2516A"/>
    <w:rsid w:val="00D26113"/>
    <w:rsid w:val="00D27DC4"/>
    <w:rsid w:val="00D339D6"/>
    <w:rsid w:val="00D364AA"/>
    <w:rsid w:val="00D4023C"/>
    <w:rsid w:val="00D514E4"/>
    <w:rsid w:val="00D52D32"/>
    <w:rsid w:val="00D534C7"/>
    <w:rsid w:val="00D62462"/>
    <w:rsid w:val="00D67FAC"/>
    <w:rsid w:val="00D8185B"/>
    <w:rsid w:val="00D903C1"/>
    <w:rsid w:val="00D94B77"/>
    <w:rsid w:val="00D94F9D"/>
    <w:rsid w:val="00DA302C"/>
    <w:rsid w:val="00DA3158"/>
    <w:rsid w:val="00DA386C"/>
    <w:rsid w:val="00DB054C"/>
    <w:rsid w:val="00DB1A8C"/>
    <w:rsid w:val="00DB6B9C"/>
    <w:rsid w:val="00DC3A03"/>
    <w:rsid w:val="00DC4666"/>
    <w:rsid w:val="00DC5823"/>
    <w:rsid w:val="00DD13D6"/>
    <w:rsid w:val="00DD51CF"/>
    <w:rsid w:val="00DE02BD"/>
    <w:rsid w:val="00DF0D6C"/>
    <w:rsid w:val="00DF5DC7"/>
    <w:rsid w:val="00E0093B"/>
    <w:rsid w:val="00E05CC8"/>
    <w:rsid w:val="00E06620"/>
    <w:rsid w:val="00E07899"/>
    <w:rsid w:val="00E15AB4"/>
    <w:rsid w:val="00E17532"/>
    <w:rsid w:val="00E23EC2"/>
    <w:rsid w:val="00E31CD9"/>
    <w:rsid w:val="00E32425"/>
    <w:rsid w:val="00E32F0D"/>
    <w:rsid w:val="00E40263"/>
    <w:rsid w:val="00E41308"/>
    <w:rsid w:val="00E47457"/>
    <w:rsid w:val="00E50371"/>
    <w:rsid w:val="00E5491F"/>
    <w:rsid w:val="00E6084E"/>
    <w:rsid w:val="00E60B8F"/>
    <w:rsid w:val="00E622EB"/>
    <w:rsid w:val="00E6488E"/>
    <w:rsid w:val="00E76E8B"/>
    <w:rsid w:val="00EB3029"/>
    <w:rsid w:val="00EB7897"/>
    <w:rsid w:val="00EB7A52"/>
    <w:rsid w:val="00EC102A"/>
    <w:rsid w:val="00ED1AE9"/>
    <w:rsid w:val="00EE24ED"/>
    <w:rsid w:val="00EF5A47"/>
    <w:rsid w:val="00EF5ABA"/>
    <w:rsid w:val="00F0060D"/>
    <w:rsid w:val="00F1005C"/>
    <w:rsid w:val="00F119E6"/>
    <w:rsid w:val="00F268A0"/>
    <w:rsid w:val="00F30640"/>
    <w:rsid w:val="00F4225E"/>
    <w:rsid w:val="00F55AE8"/>
    <w:rsid w:val="00F6270A"/>
    <w:rsid w:val="00F73427"/>
    <w:rsid w:val="00F84168"/>
    <w:rsid w:val="00F86961"/>
    <w:rsid w:val="00F878B2"/>
    <w:rsid w:val="00F90359"/>
    <w:rsid w:val="00F93C69"/>
    <w:rsid w:val="00FA024A"/>
    <w:rsid w:val="00FB3675"/>
    <w:rsid w:val="00FB6404"/>
    <w:rsid w:val="00FC1E04"/>
    <w:rsid w:val="00FC37F2"/>
    <w:rsid w:val="00FC54E6"/>
    <w:rsid w:val="00FD3EE8"/>
    <w:rsid w:val="00FD70FD"/>
    <w:rsid w:val="00FE5B2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A80E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4.xml><?xml version="1.0" encoding="utf-8"?>
<ds:datastoreItem xmlns:ds="http://schemas.openxmlformats.org/officeDocument/2006/customXml" ds:itemID="{FFC5038D-2B3A-4B1B-9D2D-06B43788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82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Hamrník Jan Mgr.</cp:lastModifiedBy>
  <cp:revision>8</cp:revision>
  <cp:lastPrinted>2024-09-24T08:20:00Z</cp:lastPrinted>
  <dcterms:created xsi:type="dcterms:W3CDTF">2025-01-27T09:21:00Z</dcterms:created>
  <dcterms:modified xsi:type="dcterms:W3CDTF">2025-01-28T07:22:00Z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